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DC3E">
      <w:pPr>
        <w:spacing w:line="360" w:lineRule="auto"/>
        <w:jc w:val="center"/>
        <w:rPr>
          <w:rFonts w:ascii="宋体" w:hAnsi="宋体"/>
          <w:sz w:val="24"/>
        </w:rPr>
      </w:pPr>
    </w:p>
    <w:p w14:paraId="781F0199">
      <w:pPr>
        <w:spacing w:line="360" w:lineRule="auto"/>
        <w:jc w:val="center"/>
        <w:rPr>
          <w:rFonts w:ascii="宋体" w:hAnsi="宋体"/>
          <w:sz w:val="24"/>
        </w:rPr>
      </w:pPr>
    </w:p>
    <w:p w14:paraId="588D4AEF">
      <w:pPr>
        <w:spacing w:line="360" w:lineRule="auto"/>
        <w:jc w:val="center"/>
        <w:rPr>
          <w:rFonts w:ascii="宋体" w:hAnsi="宋体"/>
          <w:sz w:val="24"/>
        </w:rPr>
      </w:pPr>
    </w:p>
    <w:p w14:paraId="3F809282">
      <w:pPr>
        <w:spacing w:line="360" w:lineRule="auto"/>
        <w:jc w:val="center"/>
        <w:rPr>
          <w:rFonts w:ascii="宋体" w:hAnsi="宋体"/>
          <w:sz w:val="24"/>
        </w:rPr>
      </w:pPr>
    </w:p>
    <w:p w14:paraId="42815D58">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年度锡林郭勒盟能源局（部门）</w:t>
      </w:r>
    </w:p>
    <w:p w14:paraId="77E6C3D2">
      <w:pPr>
        <w:spacing w:line="360" w:lineRule="auto"/>
        <w:jc w:val="center"/>
        <w:rPr>
          <w:rFonts w:ascii="宋体" w:hAnsi="宋体"/>
          <w:b/>
          <w:bCs/>
          <w:sz w:val="52"/>
          <w:szCs w:val="52"/>
        </w:rPr>
      </w:pPr>
      <w:r>
        <w:rPr>
          <w:rFonts w:hint="eastAsia" w:ascii="宋体" w:hAnsi="宋体"/>
          <w:b/>
          <w:bCs/>
          <w:sz w:val="52"/>
          <w:szCs w:val="52"/>
        </w:rPr>
        <w:t>公开文档</w:t>
      </w:r>
    </w:p>
    <w:p w14:paraId="6AF33ABC">
      <w:pPr>
        <w:spacing w:line="360" w:lineRule="auto"/>
        <w:jc w:val="center"/>
        <w:rPr>
          <w:rFonts w:ascii="宋体" w:hAnsi="宋体"/>
          <w:b/>
          <w:bCs/>
          <w:sz w:val="52"/>
          <w:szCs w:val="52"/>
        </w:rPr>
      </w:pPr>
    </w:p>
    <w:p w14:paraId="10212A6C">
      <w:pPr>
        <w:spacing w:line="360" w:lineRule="auto"/>
        <w:jc w:val="center"/>
        <w:rPr>
          <w:rFonts w:ascii="宋体" w:hAnsi="宋体"/>
          <w:b/>
          <w:bCs/>
          <w:sz w:val="52"/>
          <w:szCs w:val="52"/>
        </w:rPr>
      </w:pPr>
    </w:p>
    <w:p w14:paraId="636528E7">
      <w:pPr>
        <w:spacing w:line="360" w:lineRule="auto"/>
        <w:jc w:val="center"/>
        <w:rPr>
          <w:rFonts w:ascii="宋体" w:hAnsi="宋体"/>
          <w:b/>
          <w:bCs/>
          <w:sz w:val="52"/>
          <w:szCs w:val="52"/>
        </w:rPr>
      </w:pPr>
    </w:p>
    <w:p w14:paraId="3ADF248C">
      <w:pPr>
        <w:spacing w:line="360" w:lineRule="auto"/>
        <w:jc w:val="center"/>
        <w:rPr>
          <w:rFonts w:ascii="宋体" w:hAnsi="宋体"/>
          <w:b/>
          <w:bCs/>
          <w:sz w:val="52"/>
          <w:szCs w:val="52"/>
        </w:rPr>
      </w:pPr>
    </w:p>
    <w:p w14:paraId="1D89E7A7">
      <w:pPr>
        <w:spacing w:line="360" w:lineRule="auto"/>
        <w:jc w:val="center"/>
        <w:rPr>
          <w:rFonts w:ascii="宋体" w:hAnsi="宋体"/>
          <w:b/>
          <w:bCs/>
          <w:sz w:val="52"/>
          <w:szCs w:val="52"/>
        </w:rPr>
      </w:pPr>
    </w:p>
    <w:p w14:paraId="6C9B9DF2">
      <w:pPr>
        <w:spacing w:line="360" w:lineRule="auto"/>
        <w:ind w:firstLine="2240" w:firstLineChars="700"/>
        <w:jc w:val="left"/>
        <w:rPr>
          <w:rFonts w:ascii="宋体" w:hAnsi="宋体"/>
          <w:sz w:val="32"/>
          <w:szCs w:val="32"/>
        </w:rPr>
      </w:pPr>
      <w:r>
        <w:rPr>
          <w:rFonts w:hint="eastAsia" w:ascii="宋体" w:hAnsi="宋体"/>
          <w:sz w:val="32"/>
          <w:szCs w:val="32"/>
        </w:rPr>
        <w:t>部门（单位）名称：锡林郭勒盟能源局（部门）</w:t>
      </w:r>
    </w:p>
    <w:p w14:paraId="29073C42">
      <w:pPr>
        <w:spacing w:line="360" w:lineRule="auto"/>
        <w:ind w:firstLine="2240" w:firstLineChars="700"/>
        <w:jc w:val="left"/>
        <w:rPr>
          <w:rFonts w:ascii="宋体" w:hAnsi="宋体"/>
          <w:sz w:val="32"/>
          <w:szCs w:val="32"/>
        </w:rPr>
      </w:pPr>
      <w:r>
        <w:rPr>
          <w:rFonts w:hint="eastAsia" w:ascii="宋体" w:hAnsi="宋体"/>
          <w:sz w:val="32"/>
          <w:szCs w:val="32"/>
        </w:rPr>
        <w:t>单位负责人：刘勇</w:t>
      </w:r>
    </w:p>
    <w:p w14:paraId="159F86D2">
      <w:pPr>
        <w:spacing w:line="360" w:lineRule="auto"/>
        <w:ind w:firstLine="2240" w:firstLineChars="700"/>
        <w:jc w:val="left"/>
        <w:rPr>
          <w:rFonts w:ascii="宋体" w:hAnsi="宋体"/>
          <w:sz w:val="32"/>
          <w:szCs w:val="32"/>
        </w:rPr>
      </w:pPr>
      <w:r>
        <w:rPr>
          <w:rFonts w:hint="eastAsia" w:ascii="宋体" w:hAnsi="宋体"/>
          <w:sz w:val="32"/>
          <w:szCs w:val="32"/>
        </w:rPr>
        <w:t>财务负责人：徐敏</w:t>
      </w:r>
    </w:p>
    <w:p w14:paraId="2403EDC6">
      <w:pPr>
        <w:spacing w:line="360" w:lineRule="auto"/>
        <w:ind w:firstLine="2240" w:firstLineChars="700"/>
        <w:jc w:val="left"/>
        <w:rPr>
          <w:rFonts w:hint="eastAsia" w:ascii="宋体" w:hAnsi="宋体" w:eastAsia="宋体"/>
          <w:sz w:val="32"/>
          <w:szCs w:val="32"/>
          <w:lang w:val="en-US" w:eastAsia="zh-CN"/>
        </w:rPr>
      </w:pPr>
      <w:r>
        <w:rPr>
          <w:rFonts w:hint="eastAsia" w:ascii="宋体" w:hAnsi="宋体"/>
          <w:sz w:val="32"/>
          <w:szCs w:val="32"/>
        </w:rPr>
        <w:t>编制人：</w:t>
      </w:r>
      <w:r>
        <w:rPr>
          <w:rFonts w:hint="eastAsia" w:ascii="宋体" w:hAnsi="宋体"/>
          <w:sz w:val="32"/>
          <w:szCs w:val="32"/>
          <w:lang w:val="en-US" w:eastAsia="zh-CN"/>
        </w:rPr>
        <w:t>乌日古木乐</w:t>
      </w:r>
    </w:p>
    <w:p w14:paraId="574E833F">
      <w:pPr>
        <w:spacing w:line="360" w:lineRule="auto"/>
        <w:ind w:firstLine="2240" w:firstLineChars="700"/>
        <w:jc w:val="left"/>
        <w:rPr>
          <w:rFonts w:hint="eastAsia"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年10月</w:t>
      </w:r>
    </w:p>
    <w:p w14:paraId="158B22A0">
      <w:pPr>
        <w:spacing w:line="360" w:lineRule="auto"/>
        <w:ind w:firstLine="2240" w:firstLineChars="700"/>
        <w:jc w:val="left"/>
        <w:rPr>
          <w:rFonts w:hint="eastAsia" w:ascii="宋体" w:hAnsi="宋体"/>
          <w:sz w:val="32"/>
          <w:szCs w:val="32"/>
        </w:rPr>
      </w:pPr>
    </w:p>
    <w:p w14:paraId="0E9AFC24">
      <w:pPr>
        <w:widowControl/>
        <w:spacing w:after="240"/>
        <w:jc w:val="center"/>
        <w:rPr>
          <w:rFonts w:ascii="fang_song_gb2312" w:hAnsi="fang_song_gb2312" w:eastAsia="fang_song_gb2312" w:cs="fang_song_gb2312"/>
          <w:b/>
          <w:bCs/>
          <w:kern w:val="0"/>
          <w:sz w:val="54"/>
          <w:szCs w:val="54"/>
        </w:rPr>
      </w:pPr>
      <w:bookmarkStart w:id="0" w:name="a000"/>
    </w:p>
    <w:p w14:paraId="1C9A9517">
      <w:pPr>
        <w:widowControl/>
        <w:spacing w:after="240"/>
        <w:jc w:val="center"/>
        <w:rPr>
          <w:rFonts w:ascii="Times New Roman" w:hAnsi="Times New Roman" w:eastAsia="Times New Roman" w:cs="Times New Roman"/>
          <w:kern w:val="0"/>
          <w:sz w:val="24"/>
        </w:rPr>
      </w:pPr>
      <w:r>
        <w:rPr>
          <w:rFonts w:ascii="fang_song_gb2312" w:hAnsi="fang_song_gb2312" w:eastAsia="fang_song_gb2312" w:cs="fang_song_gb2312"/>
          <w:b/>
          <w:bCs/>
          <w:kern w:val="0"/>
          <w:sz w:val="54"/>
          <w:szCs w:val="54"/>
        </w:rPr>
        <w:t>目 录</w:t>
      </w:r>
    </w:p>
    <w:p w14:paraId="7CAA5FB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r>
        <w:rPr>
          <w:rFonts w:ascii="黑体" w:hAnsi="黑体" w:eastAsia="黑体" w:cs="黑体"/>
          <w:kern w:val="0"/>
          <w:sz w:val="27"/>
          <w:szCs w:val="27"/>
        </w:rPr>
        <w:t>第一部分 部门（单位）概况</w:t>
      </w:r>
    </w:p>
    <w:p w14:paraId="391682A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一、主要职能、职责</w:t>
      </w:r>
    </w:p>
    <w:p w14:paraId="39B0FB6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二、部门（单位）机构设置及决算单位构成情况</w:t>
      </w:r>
    </w:p>
    <w:p w14:paraId="66D8DC6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三、2023年度部门（单位）主要工作完成情况</w:t>
      </w:r>
    </w:p>
    <w:p w14:paraId="4BE7EF8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Times New Roman" w:hAnsi="Times New Roman" w:eastAsia="Times New Roman" w:cs="Times New Roman"/>
          <w:kern w:val="0"/>
          <w:sz w:val="24"/>
        </w:rPr>
      </w:pPr>
      <w:r>
        <w:rPr>
          <w:rFonts w:ascii="黑体" w:hAnsi="黑体" w:eastAsia="黑体" w:cs="黑体"/>
          <w:kern w:val="0"/>
          <w:sz w:val="27"/>
          <w:szCs w:val="27"/>
        </w:rPr>
        <w:t>第二部分 部门（单位）决算情况说明</w:t>
      </w:r>
    </w:p>
    <w:p w14:paraId="7D5CD91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一、收入支出决算总体情况说明</w:t>
      </w:r>
    </w:p>
    <w:p w14:paraId="0ECCBDF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二、收入决算情况说明</w:t>
      </w:r>
    </w:p>
    <w:p w14:paraId="5F64157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三、支出决算情况说明</w:t>
      </w:r>
    </w:p>
    <w:p w14:paraId="0488BAF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四、财政拨款收入支出决算总体情况说明</w:t>
      </w:r>
    </w:p>
    <w:p w14:paraId="2087F86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五、一般公共预算财政拨款支出决算情况说明</w:t>
      </w:r>
    </w:p>
    <w:p w14:paraId="3828DA7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六、一般公共预算财政拨款基本支出决算情况说明</w:t>
      </w:r>
    </w:p>
    <w:p w14:paraId="19FB71A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七、一般公共预算财政拨款项目支出决算情况说明</w:t>
      </w:r>
    </w:p>
    <w:p w14:paraId="754D290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八、财政拨款“三公”经费支出决算情况说明</w:t>
      </w:r>
    </w:p>
    <w:p w14:paraId="63B9440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九、政府性基金预算财政拨款支出决算情况说明</w:t>
      </w:r>
    </w:p>
    <w:p w14:paraId="21F48B1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十、国有资本经营预算财政拨款支出决算情况说明</w:t>
      </w:r>
    </w:p>
    <w:p w14:paraId="3E40419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十一、机构运行经费支出决算情况说明</w:t>
      </w:r>
    </w:p>
    <w:p w14:paraId="16A6E3C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十二、政府采购支出决算情况说明</w:t>
      </w:r>
    </w:p>
    <w:p w14:paraId="6C31102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十三、国有资产占用情况说明</w:t>
      </w:r>
    </w:p>
    <w:p w14:paraId="143499C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十四、预算绩效情况说明</w:t>
      </w:r>
    </w:p>
    <w:p w14:paraId="1D59342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14:paraId="1533AF7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14:paraId="5DF2778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Times New Roman" w:hAnsi="Times New Roman" w:eastAsia="Times New Roman" w:cs="Times New Roman"/>
          <w:kern w:val="0"/>
          <w:sz w:val="24"/>
        </w:rPr>
      </w:pPr>
      <w:r>
        <w:rPr>
          <w:rFonts w:ascii="黑体" w:hAnsi="黑体" w:eastAsia="黑体" w:cs="黑体"/>
          <w:kern w:val="0"/>
          <w:sz w:val="27"/>
          <w:szCs w:val="27"/>
        </w:rPr>
        <w:t>第五部分 部门（单位）决算表</w:t>
      </w:r>
    </w:p>
    <w:p w14:paraId="070AA50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一、收入支出决算总表</w:t>
      </w:r>
    </w:p>
    <w:p w14:paraId="2D63D18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二、收入决算表</w:t>
      </w:r>
    </w:p>
    <w:p w14:paraId="1FF5C7D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三、支出决算表</w:t>
      </w:r>
    </w:p>
    <w:p w14:paraId="326200A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四、财政拨款收入支出决算总表</w:t>
      </w:r>
    </w:p>
    <w:p w14:paraId="2B2B2B0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五、一般公共预算财政拨款支出决算表</w:t>
      </w:r>
    </w:p>
    <w:p w14:paraId="7EB8443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六、一般公共预算财政拨款基本支出决算明细表</w:t>
      </w:r>
    </w:p>
    <w:p w14:paraId="1AAE918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七、一般公共预算财政拨款项目支出决算明细表</w:t>
      </w:r>
    </w:p>
    <w:p w14:paraId="2629257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八、政府性基金预算财政拨款收入支出决算表</w:t>
      </w:r>
    </w:p>
    <w:p w14:paraId="477DC00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九、国有资本经营预算财政拨款支出决算表</w:t>
      </w:r>
    </w:p>
    <w:p w14:paraId="0191581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十、财政拨款“三公”经费支出决算表</w:t>
      </w:r>
    </w:p>
    <w:p w14:paraId="21FF5C7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十一、机构运行经费支出、国有资产占用情况及政府采购支出信息表</w:t>
      </w:r>
    </w:p>
    <w:p w14:paraId="5997DECA">
      <w:pPr>
        <w:widowControl/>
        <w:spacing w:before="240" w:after="240"/>
        <w:rPr>
          <w:rFonts w:ascii="Times New Roman" w:hAnsi="Times New Roman" w:eastAsia="Times New Roman" w:cs="Times New Roman"/>
          <w:kern w:val="0"/>
          <w:sz w:val="24"/>
        </w:rPr>
      </w:pPr>
    </w:p>
    <w:p w14:paraId="15CB9086">
      <w:pPr>
        <w:rPr>
          <w:rFonts w:ascii="Times New Roman" w:hAnsi="Times New Roman" w:eastAsia="Times New Roman" w:cs="Times New Roman"/>
          <w:kern w:val="0"/>
          <w:sz w:val="24"/>
        </w:rPr>
      </w:pPr>
      <w:r>
        <w:rPr>
          <w:rFonts w:ascii="Times New Roman" w:hAnsi="Times New Roman" w:eastAsia="Times New Roman" w:cs="Times New Roman"/>
          <w:kern w:val="0"/>
          <w:sz w:val="24"/>
        </w:rPr>
        <w:br w:type="page"/>
      </w:r>
    </w:p>
    <w:p w14:paraId="01038742">
      <w:pPr>
        <w:widowControl/>
        <w:spacing w:before="240" w:after="240"/>
        <w:jc w:val="center"/>
        <w:rPr>
          <w:rFonts w:hint="eastAsia" w:ascii="方正仿宋_GB2312" w:hAnsi="方正仿宋_GB2312" w:eastAsia="方正仿宋_GB2312" w:cs="方正仿宋_GB2312"/>
          <w:b/>
          <w:bCs/>
          <w:kern w:val="0"/>
          <w:sz w:val="36"/>
          <w:szCs w:val="36"/>
          <w:lang w:val="en-US" w:eastAsia="zh-CN" w:bidi="ar-SA"/>
        </w:rPr>
      </w:pPr>
      <w:r>
        <w:rPr>
          <w:rFonts w:hint="eastAsia" w:ascii="方正仿宋_GB2312" w:hAnsi="方正仿宋_GB2312" w:eastAsia="方正仿宋_GB2312" w:cs="方正仿宋_GB2312"/>
          <w:b/>
          <w:bCs/>
          <w:kern w:val="0"/>
          <w:sz w:val="36"/>
          <w:szCs w:val="36"/>
          <w:lang w:val="en-US" w:eastAsia="zh-CN" w:bidi="ar-SA"/>
        </w:rPr>
        <w:t>第一部分 部门（单位）概况</w:t>
      </w:r>
    </w:p>
    <w:p w14:paraId="18798272">
      <w:pPr>
        <w:keepNext w:val="0"/>
        <w:keepLines w:val="0"/>
        <w:pageBreakBefore w:val="0"/>
        <w:widowControl/>
        <w:kinsoku/>
        <w:wordWrap/>
        <w:overflowPunct/>
        <w:topLinePunct w:val="0"/>
        <w:autoSpaceDE/>
        <w:autoSpaceDN/>
        <w:bidi w:val="0"/>
        <w:adjustRightInd/>
        <w:snapToGrid/>
        <w:spacing w:line="360" w:lineRule="auto"/>
        <w:ind w:firstLine="620" w:firstLineChars="200"/>
        <w:jc w:val="both"/>
        <w:textAlignment w:val="auto"/>
        <w:rPr>
          <w:rFonts w:ascii="Times New Roman" w:hAnsi="Times New Roman" w:eastAsia="Times New Roman" w:cs="Times New Roman"/>
          <w:b w:val="0"/>
          <w:bCs w:val="0"/>
          <w:kern w:val="0"/>
          <w:sz w:val="24"/>
        </w:rPr>
      </w:pPr>
      <w:r>
        <w:rPr>
          <w:rFonts w:ascii="黑体" w:hAnsi="黑体" w:eastAsia="黑体" w:cs="黑体"/>
          <w:b w:val="0"/>
          <w:bCs w:val="0"/>
          <w:kern w:val="0"/>
          <w:sz w:val="31"/>
          <w:szCs w:val="31"/>
        </w:rPr>
        <w:t>一、主要职能、职责</w:t>
      </w:r>
    </w:p>
    <w:p w14:paraId="48A17E4D">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pacing w:val="9"/>
          <w:sz w:val="31"/>
          <w:szCs w:val="31"/>
        </w:rPr>
      </w:pPr>
      <w:r>
        <w:rPr>
          <w:rFonts w:hint="eastAsia" w:ascii="楷体" w:hAnsi="楷体" w:eastAsia="楷体" w:cs="楷体"/>
          <w:spacing w:val="5"/>
          <w:sz w:val="31"/>
          <w:szCs w:val="31"/>
        </w:rPr>
        <w:t>（一）部门职能</w:t>
      </w:r>
    </w:p>
    <w:p w14:paraId="6F4A6FD0">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锡林郭勒盟能源局是盟行署工作部门,为正处级</w:t>
      </w:r>
      <w:r>
        <w:rPr>
          <w:rFonts w:hint="eastAsia" w:ascii="仿宋" w:hAnsi="仿宋" w:eastAsia="仿宋" w:cs="仿宋"/>
          <w:spacing w:val="9"/>
          <w:sz w:val="31"/>
          <w:szCs w:val="31"/>
          <w:lang w:val="en-US" w:eastAsia="zh-CN"/>
        </w:rPr>
        <w:t>单位</w:t>
      </w:r>
      <w:r>
        <w:rPr>
          <w:rFonts w:hint="eastAsia" w:ascii="仿宋" w:hAnsi="仿宋" w:eastAsia="仿宋" w:cs="仿宋"/>
          <w:spacing w:val="9"/>
          <w:sz w:val="31"/>
          <w:szCs w:val="31"/>
        </w:rPr>
        <w:t>。贯彻落实党中央关于能源工作的方针政策,落实自治区党委、盟委相关决策部署,在履行职责过程中坚持和加强党对能源工作的集中统一领导。</w:t>
      </w:r>
    </w:p>
    <w:p w14:paraId="44277708">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rPr>
      </w:pPr>
      <w:r>
        <w:rPr>
          <w:rFonts w:hint="eastAsia" w:ascii="楷体" w:hAnsi="楷体" w:eastAsia="楷体" w:cs="楷体"/>
          <w:spacing w:val="5"/>
          <w:sz w:val="31"/>
          <w:szCs w:val="31"/>
        </w:rPr>
        <w:t>（二）部门主要职责</w:t>
      </w:r>
    </w:p>
    <w:p w14:paraId="0120A587">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贯彻落实国家、自治区有关能源方面的法律法规政策。提出现代能源经济发展政策建议,拟订并组织实施能源发展规划和计划。推进能源体制改革,组织拟订有关改革方案,协调能源发展和改革中的重大问题。负责开展全盟能源对外合作和开发利 用工作。</w:t>
      </w:r>
    </w:p>
    <w:p w14:paraId="68931B19">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2、负责全盟能源生产、运行和管理,规范维护能源市场秩序。参与制定与能源相关的资源、环保等政策,提出能源价格调整等建议。</w:t>
      </w:r>
    </w:p>
    <w:p w14:paraId="207A03B9">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3、按照管行业必须管安全、管业务必须管安全、管生产经营必须管安全的要求,履行安全生产责任制规定的职责。</w:t>
      </w:r>
    </w:p>
    <w:p w14:paraId="1BD04C2C">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 xml:space="preserve">4、承担全盟能源和煤制燃料行业管理工作,拟订产业政策。按规定权限审批、核准、备案、审核转报全盟能源固定资产投资项目。指导协调农村牧区能源发展工作。统筹全盟煤矿火区、采空区、沉陷区等灾害综合治理工作。 </w:t>
      </w:r>
    </w:p>
    <w:p w14:paraId="1C623BCF">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5、负责监测分析全盟电力运行情况,协调处理电力运行和电网运行中的重大问题。依法开展全盟电力设施保护和电力行政执法工作,监督电力法律法规执行和电力技术应用情况。</w:t>
      </w:r>
    </w:p>
    <w:p w14:paraId="02109459">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6、负责全盟能源行业节能和资源综合利用,参与研究能源消费总量控制目标建议,指导协调能源消费总量控制有关工作,衔接能源生产建设和供需平衡。</w:t>
      </w:r>
    </w:p>
    <w:p w14:paraId="62ABB688">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7、组织推进全盟能源重大装备技术研发及相关重大科研项目,指导能源科技进步、成套设备的引进消化创新,组织协调相关重大示范工程和新产品、新技术、新设备推广应用。</w:t>
      </w:r>
    </w:p>
    <w:p w14:paraId="47631179">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8、负责全盟煤矿、电力运行和石油天然气长输管道安全生产监管工作,指导煤矿安全基础建设,负责煤矿安全培训工作。配合协调全盟煤矿、电力和石油天然气长输管道安全生产事故应急救援、抢险救灾、调查处理等工作。</w:t>
      </w:r>
    </w:p>
    <w:p w14:paraId="09AC2C4A">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ascii="仿宋" w:hAnsi="仿宋" w:eastAsia="仿宋" w:cs="仿宋"/>
          <w:spacing w:val="9"/>
          <w:sz w:val="31"/>
          <w:szCs w:val="31"/>
        </w:rPr>
      </w:pPr>
      <w:r>
        <w:rPr>
          <w:rFonts w:hint="eastAsia" w:ascii="仿宋" w:hAnsi="仿宋" w:eastAsia="仿宋" w:cs="仿宋"/>
          <w:spacing w:val="9"/>
          <w:sz w:val="31"/>
          <w:szCs w:val="31"/>
        </w:rPr>
        <w:t>9、完成盟委、行署交办的其他任务。</w:t>
      </w:r>
    </w:p>
    <w:p w14:paraId="17A76CF6">
      <w:pPr>
        <w:keepNext w:val="0"/>
        <w:keepLines w:val="0"/>
        <w:pageBreakBefore w:val="0"/>
        <w:widowControl/>
        <w:kinsoku/>
        <w:wordWrap/>
        <w:overflowPunct/>
        <w:topLinePunct w:val="0"/>
        <w:autoSpaceDE/>
        <w:autoSpaceDN/>
        <w:bidi w:val="0"/>
        <w:adjustRightInd/>
        <w:snapToGrid/>
        <w:spacing w:line="360" w:lineRule="auto"/>
        <w:ind w:firstLine="620" w:firstLineChars="200"/>
        <w:jc w:val="both"/>
        <w:textAlignment w:val="auto"/>
        <w:rPr>
          <w:rFonts w:ascii="黑体" w:hAnsi="黑体" w:eastAsia="黑体" w:cs="黑体"/>
          <w:b/>
          <w:bCs/>
          <w:kern w:val="0"/>
          <w:sz w:val="27"/>
          <w:szCs w:val="27"/>
        </w:rPr>
      </w:pPr>
      <w:r>
        <w:rPr>
          <w:rFonts w:ascii="黑体" w:hAnsi="黑体" w:eastAsia="黑体" w:cs="黑体"/>
          <w:b w:val="0"/>
          <w:bCs w:val="0"/>
          <w:kern w:val="0"/>
          <w:sz w:val="31"/>
          <w:szCs w:val="31"/>
        </w:rPr>
        <w:t>二、部门（单位）机构设置及决算单位构成情况</w:t>
      </w:r>
    </w:p>
    <w:p w14:paraId="3A2DD39C">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根据部门职责分工，本部门内设机构包括办公室、综合科、电力科、煤炭开发保护科、煤炭运行科、新能源和科技装备科、安全生产监督管理科。本部门下属单位包括：锡林郭勒盟能源综合执法支队、锡林郭勒盟能源局综合保障中心。</w:t>
      </w:r>
    </w:p>
    <w:p w14:paraId="5704B389">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lang w:val="en-US" w:eastAsia="zh-CN"/>
        </w:rPr>
        <w:t>2.</w:t>
      </w:r>
      <w:r>
        <w:rPr>
          <w:rFonts w:hint="eastAsia" w:ascii="仿宋" w:hAnsi="仿宋" w:eastAsia="仿宋" w:cs="仿宋"/>
          <w:spacing w:val="9"/>
          <w:sz w:val="31"/>
          <w:szCs w:val="31"/>
        </w:rPr>
        <w:t>从决算单位构成看，纳入本部门决算编制范围的预算单位共计共计3家，具体包括：锡林郭勒盟能源局本级、锡林郭勒盟能源综合执法支队、锡林郭勒盟能源局综合保障中心。</w:t>
      </w:r>
    </w:p>
    <w:p w14:paraId="5F7618AA">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详细情况见表</w:t>
      </w:r>
      <w:r>
        <w:rPr>
          <w:rFonts w:hint="eastAsia" w:ascii="仿宋" w:hAnsi="仿宋" w:eastAsia="仿宋" w:cs="仿宋"/>
          <w:spacing w:val="9"/>
          <w:sz w:val="31"/>
          <w:szCs w:val="31"/>
          <w:lang w:eastAsia="zh-CN"/>
        </w:rPr>
        <w:t>：</w:t>
      </w:r>
    </w:p>
    <w:p w14:paraId="3E686FF4">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eastAsia="zh-CN"/>
        </w:rPr>
      </w:pPr>
    </w:p>
    <w:p w14:paraId="4E8C4790">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eastAsia="zh-CN"/>
        </w:rPr>
      </w:pPr>
    </w:p>
    <w:tbl>
      <w:tblPr>
        <w:tblStyle w:val="21"/>
        <w:tblW w:w="4809"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728"/>
        <w:gridCol w:w="5175"/>
        <w:gridCol w:w="3507"/>
      </w:tblGrid>
      <w:tr w14:paraId="40DED51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387" w:type="pct"/>
            <w:tcBorders>
              <w:bottom w:val="inset" w:color="808080" w:sz="6" w:space="0"/>
              <w:right w:val="inset" w:color="808080" w:sz="6" w:space="0"/>
            </w:tcBorders>
            <w:noWrap w:val="0"/>
            <w:tcMar>
              <w:top w:w="22" w:type="dxa"/>
              <w:left w:w="22" w:type="dxa"/>
              <w:bottom w:w="22" w:type="dxa"/>
              <w:right w:w="22" w:type="dxa"/>
            </w:tcMar>
            <w:vAlign w:val="center"/>
          </w:tcPr>
          <w:p w14:paraId="1FBD8C2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序号</w:t>
            </w:r>
          </w:p>
        </w:tc>
        <w:tc>
          <w:tcPr>
            <w:tcW w:w="2749"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5B8C532F">
            <w:pPr>
              <w:keepNext w:val="0"/>
              <w:keepLines w:val="0"/>
              <w:pageBreakBefore w:val="0"/>
              <w:widowControl/>
              <w:kinsoku/>
              <w:wordWrap/>
              <w:overflowPunct/>
              <w:topLinePunct w:val="0"/>
              <w:autoSpaceDE/>
              <w:autoSpaceDN/>
              <w:bidi w:val="0"/>
              <w:adjustRightInd/>
              <w:snapToGrid/>
              <w:spacing w:line="24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单位名称</w:t>
            </w:r>
          </w:p>
        </w:tc>
        <w:tc>
          <w:tcPr>
            <w:tcW w:w="1863" w:type="pct"/>
            <w:tcBorders>
              <w:left w:val="inset" w:color="808080" w:sz="6" w:space="0"/>
              <w:bottom w:val="inset" w:color="808080" w:sz="6" w:space="0"/>
            </w:tcBorders>
            <w:noWrap w:val="0"/>
            <w:tcMar>
              <w:top w:w="22" w:type="dxa"/>
              <w:left w:w="22" w:type="dxa"/>
              <w:bottom w:w="22" w:type="dxa"/>
              <w:right w:w="22" w:type="dxa"/>
            </w:tcMar>
            <w:vAlign w:val="center"/>
          </w:tcPr>
          <w:p w14:paraId="6DFE0E54">
            <w:pPr>
              <w:keepNext w:val="0"/>
              <w:keepLines w:val="0"/>
              <w:pageBreakBefore w:val="0"/>
              <w:widowControl/>
              <w:kinsoku/>
              <w:wordWrap/>
              <w:overflowPunct/>
              <w:topLinePunct w:val="0"/>
              <w:autoSpaceDE/>
              <w:autoSpaceDN/>
              <w:bidi w:val="0"/>
              <w:adjustRightInd/>
              <w:snapToGrid/>
              <w:spacing w:line="24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单位性质</w:t>
            </w:r>
          </w:p>
        </w:tc>
      </w:tr>
      <w:tr w14:paraId="5F7BC3C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571" w:hRule="atLeast"/>
          <w:jc w:val="center"/>
        </w:trPr>
        <w:tc>
          <w:tcPr>
            <w:tcW w:w="387"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4F38404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w:t>
            </w:r>
          </w:p>
        </w:tc>
        <w:tc>
          <w:tcPr>
            <w:tcW w:w="2749"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654571F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锡林郭勒盟能源局</w:t>
            </w:r>
          </w:p>
        </w:tc>
        <w:tc>
          <w:tcPr>
            <w:tcW w:w="1863"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14:paraId="03B012F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财政拨款的行政单位</w:t>
            </w:r>
          </w:p>
        </w:tc>
      </w:tr>
      <w:tr w14:paraId="5FD5665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43" w:hRule="atLeast"/>
          <w:jc w:val="center"/>
        </w:trPr>
        <w:tc>
          <w:tcPr>
            <w:tcW w:w="387"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7719C10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2</w:t>
            </w:r>
          </w:p>
        </w:tc>
        <w:tc>
          <w:tcPr>
            <w:tcW w:w="2749"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08811B1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锡林郭勒盟能源综合执法支队</w:t>
            </w:r>
          </w:p>
        </w:tc>
        <w:tc>
          <w:tcPr>
            <w:tcW w:w="1863"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14:paraId="0197CAE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公益一类事业单位</w:t>
            </w:r>
          </w:p>
        </w:tc>
      </w:tr>
      <w:tr w14:paraId="080F60E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563" w:hRule="atLeast"/>
          <w:jc w:val="center"/>
        </w:trPr>
        <w:tc>
          <w:tcPr>
            <w:tcW w:w="387"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036224D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3</w:t>
            </w:r>
          </w:p>
        </w:tc>
        <w:tc>
          <w:tcPr>
            <w:tcW w:w="2749"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30495A7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锡林郭勒盟能源局综合保障中心</w:t>
            </w:r>
          </w:p>
        </w:tc>
        <w:tc>
          <w:tcPr>
            <w:tcW w:w="1863"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14:paraId="271CB96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公益一类事业单位</w:t>
            </w:r>
          </w:p>
        </w:tc>
      </w:tr>
    </w:tbl>
    <w:p w14:paraId="648BC269">
      <w:pPr>
        <w:keepNext w:val="0"/>
        <w:keepLines w:val="0"/>
        <w:pageBreakBefore w:val="0"/>
        <w:widowControl/>
        <w:kinsoku/>
        <w:wordWrap/>
        <w:overflowPunct/>
        <w:topLinePunct w:val="0"/>
        <w:autoSpaceDE/>
        <w:autoSpaceDN/>
        <w:bidi w:val="0"/>
        <w:adjustRightInd/>
        <w:snapToGrid/>
        <w:spacing w:line="360" w:lineRule="auto"/>
        <w:ind w:firstLine="620" w:firstLineChars="200"/>
        <w:jc w:val="both"/>
        <w:textAlignment w:val="auto"/>
        <w:rPr>
          <w:rFonts w:ascii="黑体" w:hAnsi="黑体" w:eastAsia="黑体" w:cs="黑体"/>
          <w:b w:val="0"/>
          <w:bCs w:val="0"/>
          <w:kern w:val="0"/>
          <w:sz w:val="31"/>
          <w:szCs w:val="31"/>
        </w:rPr>
      </w:pPr>
      <w:r>
        <w:rPr>
          <w:rFonts w:ascii="黑体" w:hAnsi="黑体" w:eastAsia="黑体" w:cs="黑体"/>
          <w:b w:val="0"/>
          <w:bCs w:val="0"/>
          <w:kern w:val="0"/>
          <w:sz w:val="31"/>
          <w:szCs w:val="31"/>
        </w:rPr>
        <w:t>三、2023年度部门（单位）主要工作完成情况</w:t>
      </w:r>
    </w:p>
    <w:p w14:paraId="0C5F9DF5">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聚焦落实“五大任务”，扎实推动能源经济高质量发展</w:t>
      </w:r>
    </w:p>
    <w:p w14:paraId="3E6B8139">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w:t>
      </w:r>
      <w:r>
        <w:rPr>
          <w:rFonts w:hint="eastAsia" w:ascii="仿宋" w:hAnsi="仿宋" w:eastAsia="仿宋" w:cs="仿宋"/>
          <w:spacing w:val="9"/>
          <w:sz w:val="31"/>
          <w:szCs w:val="31"/>
          <w:lang w:val="en-US" w:eastAsia="zh-CN"/>
        </w:rPr>
        <w:t>1</w:t>
      </w:r>
      <w:r>
        <w:rPr>
          <w:rFonts w:hint="eastAsia" w:ascii="仿宋" w:hAnsi="仿宋" w:eastAsia="仿宋" w:cs="仿宋"/>
          <w:spacing w:val="9"/>
          <w:sz w:val="31"/>
          <w:szCs w:val="31"/>
        </w:rPr>
        <w:t>）稳经济、保运行，全力服务保障我盟经济发展大局。年初以来，面对安全生产监管压力骤增、部分煤矿停产减产等不利局面，我们积极采取有效措施，全力应对困难挑战，千方百计助企纾困，稳住了全盟能源经济这一基本盘，能源作为全盟经济社会发展主引擎的基础地位得到进一步巩固和提升。经济贡献方面，2023年全盟规上能源工业累计完成产值681亿元，同比增加5.9亿元，能源增加值占规上工业增加值的比重达到78.5%，为稳定全盟工业经济发挥了重要作用。财政贡献方面，2023年能源行业累计实现税收收入130.5亿元，占全盟税收总额的65%，较2022年提高近11个百分点，其中纳入一般公共预算收入近58亿元，对全盟一般公共预算税收收入的贡献率达64.7%，是财政增收的重要支撑。投资贡献方面，2023年全盟共实施各类能源重点项目57项，累计完成投资275亿元，占全盟固定资产投资的比重达65.7%，能源作为我盟固定资产投资“稳定器”的作用进一步提升。</w:t>
      </w:r>
    </w:p>
    <w:p w14:paraId="6D5E32AA">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w:t>
      </w:r>
      <w:r>
        <w:rPr>
          <w:rFonts w:hint="eastAsia" w:ascii="仿宋" w:hAnsi="仿宋" w:eastAsia="仿宋" w:cs="仿宋"/>
          <w:spacing w:val="9"/>
          <w:sz w:val="31"/>
          <w:szCs w:val="31"/>
          <w:lang w:val="en-US" w:eastAsia="zh-CN"/>
        </w:rPr>
        <w:t>2</w:t>
      </w:r>
      <w:r>
        <w:rPr>
          <w:rFonts w:hint="eastAsia" w:ascii="仿宋" w:hAnsi="仿宋" w:eastAsia="仿宋" w:cs="仿宋"/>
          <w:spacing w:val="9"/>
          <w:sz w:val="31"/>
          <w:szCs w:val="31"/>
        </w:rPr>
        <w:t>）稳生产、保供应，坚决扛起能源保供重大责任。我盟是国家重要的能源供应保障基地，对于保障国家能源安全，特别是在保障蒙东及东北地区用煤、华北及华东地区用电方面发挥着重要作用。一是全力推动煤炭稳产增供。去年年初，阿拉善新井煤矿发生特大事故，安全监管压力骤增，我盟多处煤矿相继停产，给煤炭保供带来巨大压力。为保障煤炭稳定供应，我们一手抓复工复产、一手抓挖潜增产，尽最大努力保障民生和工业用煤需求。通过开展安全隐患排查整治，华润五间房等6处停产煤矿如期复工复产。同时，加快完善在建煤矿手续，推动优质产能快速释放，白音华四号矿产能核增手续全部办结并完成公告，贺斯格乌拉煤矿完成竣工验收，芒来、鲁新煤矿正式转入联合试运转。特别是在推动大唐胜利东二号矿复工复产方面，做了大量前期工作，违法用地、安全隐患等诸多问题取得实质性进展，为今年复工复产奠定了基础，该矿复产后将有效缓解区域性煤炭紧张的局面。通过以上一系列措施，有效扭转了煤炭大幅减产的局面，产量实现扭负为正，全盟累计生产煤炭1.37亿吨、居全区第二位，累计保障盟内用煤6000余万吨、保障东北及周边盟市7600余万吨，有效保障了蒙东和东北地区民生和重点工业用煤需求。二是提升电力供应保障水平。全力推动在建电源项目投产达效，持续强化电力运行服务保障和调度监测，保障电力企业应发尽发、稳发多发。通过努力，全盟发电总量首次突破千亿度大关、达到历史最高水平，发电量稳居全区第二位，其中外送电量达812亿度，为保障华北、华东、东北等地用电安全</w:t>
      </w:r>
      <w:r>
        <w:rPr>
          <w:rFonts w:hint="eastAsia" w:ascii="仿宋" w:hAnsi="仿宋" w:eastAsia="仿宋" w:cs="仿宋"/>
          <w:spacing w:val="9"/>
          <w:sz w:val="31"/>
          <w:szCs w:val="31"/>
          <w:lang w:eastAsia="zh-CN"/>
        </w:rPr>
        <w:t>作</w:t>
      </w:r>
      <w:bookmarkStart w:id="1" w:name="_GoBack"/>
      <w:bookmarkEnd w:id="1"/>
      <w:r>
        <w:rPr>
          <w:rFonts w:hint="eastAsia" w:ascii="仿宋" w:hAnsi="仿宋" w:eastAsia="仿宋" w:cs="仿宋"/>
          <w:spacing w:val="9"/>
          <w:sz w:val="31"/>
          <w:szCs w:val="31"/>
        </w:rPr>
        <w:t>出了积极贡献。此外，为确保盟内农牧民温暖过冬，我们及早谋划、深入摸排，全面掌握了盟内农牧民冬季取暖用煤需求，同时针对牧民对燃煤的需求，我们在保障盟内煤源的情况下，积极与鄂尔多斯能源局沟通协调高热值精煤，并指导各地区有序组织拉运，全盟近6.2万户农牧民、12.4万吨取暖用煤全部按时拉运到位，保证了农牧民冬季取暖用煤。</w:t>
      </w:r>
    </w:p>
    <w:p w14:paraId="658C6E4F">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w:t>
      </w:r>
      <w:r>
        <w:rPr>
          <w:rFonts w:hint="eastAsia" w:ascii="仿宋" w:hAnsi="仿宋" w:eastAsia="仿宋" w:cs="仿宋"/>
          <w:spacing w:val="9"/>
          <w:sz w:val="31"/>
          <w:szCs w:val="31"/>
          <w:lang w:val="en-US" w:eastAsia="zh-CN"/>
        </w:rPr>
        <w:t>3</w:t>
      </w:r>
      <w:r>
        <w:rPr>
          <w:rFonts w:hint="eastAsia" w:ascii="仿宋" w:hAnsi="仿宋" w:eastAsia="仿宋" w:cs="仿宋"/>
          <w:spacing w:val="9"/>
          <w:sz w:val="31"/>
          <w:szCs w:val="31"/>
        </w:rPr>
        <w:t>）抓项目、促发展，全力以赴推动重大能源项目建设。牢固树立“抓项目就是抓发展”的理念，把项目建设作为推动能源高质量发展的着力点，按照“新建项目抓前期、在建项目抓进度、规划项目抓储备”的工作思路，凝心聚力推项目、建项目、谋项目，加快构建国家重要能源战略安全保障基地。一是竭尽全力推动400万千瓦风光基地建成投运。为确保400万千瓦基地顺利建成并网，我们成立工作专班，建立了周调度机制，定期召开推进会议，全力协调解决项目建设遇到的困难问题。主体工程方面，抢抓有效施工期，指导8家企业利用5个月的时间，完成了666台风机的采购和吊装工作，较原计划提前2个月具备调试条件。送出工程方面，协调国网蒙东公司加快基地配套“四站四线”建设进度，通过强化施工力量保障、压减施工周期，将线路完工时间由2024年6月提前到2023年11月，提前7个月建成投运。并网调试方面，先后多次带队赴华北能监局、华北电科院、国网华北分部、自治区能源局等部门协调解决配建储能、并网提资、调试等一系列困难问题（通过对接，华北能监局和自治区能源局出台政策允许配建储能未投运的200万千瓦新能源先行并网投运；华北电科院在各地新能源项目集中并网的情况下，举全院之力支持我盟项目并网提资，优先对400万基地并网前所需潮流过电压、风场建模等重要提资报告进行计算编制；国网华北分部优先对我盟提资材料进行了审核，破例将并网提资完成时限由并网前3个月调整为并网前15天，并对具备并网条件项目优先安排并网调试）。经过不断的向上对接、横向协调和督促指导，400万千瓦风光基地顺利实现全容量并网目标。此外，通过积极向上争取，特高压三期500万千瓦风光基地也于去年获得国家批复，今年将全面开工建设，新增总投资近250亿元，为稳定今明两年我盟固定资产投资奠定了基础。目前，全盟新能源装机达到1968万千瓦、居全国地级市第二位、稳居全区首位。新能源装机占电力总装机的比重达到56%，成为全区率先实现新能源装机超过火电装机的盟市之一。二是稳步推动煤电项目建设。在保障已投运煤电机组平稳运行的基础上，加快重大煤电项目建设进度。通过协调蒙东国网公司，提前4个月完成了国电投白音华坑口电厂送出工程建设，为国电投坑口电厂具备反送电调试条件奠定了基础；及时帮助中煤芒来电厂、江苏能源白音华电厂协调解决环评、节能等开工手续问题，有力推动2个新建电厂全手续开工建设；通过协调落实煤源，推动阿旗京能查干淖尔电厂实现“双投”、新增煤电装机132万千瓦。全盟已投产火电装机达到1568万千瓦、居全区第二位。三是着力补强电网建设短板。外送通道能力不足、电网网架薄弱问题是我盟基础设施建设的短板。外送通道方面，虽然我盟已建成锡盟至山东、至江苏泰州两条特高压电力外送通道，但随着配套煤电和新能源的陆续投运，已不能满足电力外送需求。为推动胜利至张北特高压输电通道尽快开工建设，协助国网蒙东公司解决了环评批复受阻（噪音超标）、文物勘测选址、征地工作停滞（相关地区未出台征地补偿标准、阻工）等困难问题，有力推动项目全面开工建设，建成后我盟将形成“两交一直”电力外送通道新格局，为清洁能源送出和消纳提供坚强支撑。盟内电网方面，我盟位于蒙西电网东部末端，主网架建设相对薄弱，一直呈现单一链式结构，未形成环网。为进一步强化盟内电网网架，全力推进“一线四站”工程建设，宝拉格500千伏变电站工程顺利建成投运，锡西500千伏变电站全面开工，填补了我盟自2015年白音高勒500千伏站建成后，7年内没再新建500千伏变电站的空白。另外，锡西-东苏-塔拉500千伏输电工程获得国家能源局批复并完成核准，项目全部建成后，将形成盟内500千伏双回环网，电网网架更加安全可靠。</w:t>
      </w:r>
    </w:p>
    <w:p w14:paraId="0865050A">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w:t>
      </w:r>
      <w:r>
        <w:rPr>
          <w:rFonts w:hint="eastAsia" w:ascii="仿宋" w:hAnsi="仿宋" w:eastAsia="仿宋" w:cs="仿宋"/>
          <w:spacing w:val="9"/>
          <w:sz w:val="31"/>
          <w:szCs w:val="31"/>
          <w:lang w:val="en-US" w:eastAsia="zh-CN"/>
        </w:rPr>
        <w:t>4</w:t>
      </w:r>
      <w:r>
        <w:rPr>
          <w:rFonts w:hint="eastAsia" w:ascii="仿宋" w:hAnsi="仿宋" w:eastAsia="仿宋" w:cs="仿宋"/>
          <w:spacing w:val="9"/>
          <w:sz w:val="31"/>
          <w:szCs w:val="31"/>
        </w:rPr>
        <w:t>）敢创新、找突破，加快构建现代化新型能源体系。在落实中央“碳达峰、碳中和”战略部署的大背景下，能源工作也面临着诸多新问题和新挑战。为发挥好我盟能源资源优势，推动传统能源产业转型升级，我们围绕创新资源型地区转型发展体制机制、延伸能源产业链条等方面，进行了积极探索和创新，取得了显著成效。一是在全国率先出台“风火电源利益共享机制”。为认真落实国家、自治区深化电力市场化交易部署，推动特高压外送通道配套新能源和火电企业利益互补，我盟在全国率先出台了“风火电源利益共享机制”。机制的出台，不仅破题解决了煤电与新能源抢发电量，煤电调峰亏损的矛盾，更实现了风火企业“双增收”（2023年累计交易电量39.83亿千瓦时，为火电企业实现增收2.44亿元，新能源企业增发绿电约26亿千瓦时，增收约12.22亿元）。为全国深化电力市场化交易体制机制改革、加快构建新型电力系统趟出了新路子，也为自治区落实“碳达峰、碳中和”、“两率先、两超过”战略目标，加快建设国家重要能源和战略资源基地提供了新举措，对于内蒙古探索资源型地区转型发展、实现“闯新路、进中游”战略目标具有典型示范意义。二是制定政策大力支持战略性新兴产业发展。为做优做强能源装备制造全产业链，我们研究出台了《支持能源装备制造等战略性新兴产业发展暂行办法》，围绕风光发电、储能氢能等装备制造和先进化工材料生产加工及先进机械设备制造等40多个具体方向，从新能源开发、市场订单等方面给予支持。对重点招商引资项目，实行全流程、全周期、全方位服务，促进项目快落地、早投产。通过精准招商，联动天翼年产3GWh储能和重卡电池项目、远景能源年产5GWh储能系统项目等建成投产，远景能源年产2GW制氢电解槽项目、中船产业园（年产风电发电机500台、偏航变桨齿轮箱12000套、逆变器集成主控系统6000套、锂电池储能系统400万千瓦）、四合光能年产8GW高效单晶棒切片项目、恒力源年产2.5万吨锂电池正极材料、新蒙新年产10万吨锂电池负极材料等一批延链补链项目落地开工，填补了我盟历史以来没有储能、光伏、氢能等多个装备制造产业的空白。能源局招商工作也得到了自治区和盟委行署的充分肯定，荣获全区招商引资先进集体荣誉称号。</w:t>
      </w:r>
    </w:p>
    <w:p w14:paraId="0C10E066">
      <w:pPr>
        <w:pStyle w:val="3"/>
        <w:keepNext w:val="0"/>
        <w:keepLines w:val="0"/>
        <w:widowControl/>
        <w:spacing w:before="299" w:after="299" w:line="240" w:lineRule="auto"/>
        <w:jc w:val="center"/>
        <w:rPr>
          <w:rFonts w:hint="eastAsia" w:ascii="方正仿宋_GB2312" w:hAnsi="方正仿宋_GB2312" w:eastAsia="方正仿宋_GB2312" w:cs="方正仿宋_GB2312"/>
          <w:kern w:val="0"/>
          <w:sz w:val="36"/>
          <w:szCs w:val="36"/>
        </w:rPr>
      </w:pPr>
      <w:r>
        <w:rPr>
          <w:rFonts w:hint="eastAsia" w:ascii="方正仿宋_GB2312" w:hAnsi="方正仿宋_GB2312" w:eastAsia="方正仿宋_GB2312" w:cs="方正仿宋_GB2312"/>
          <w:kern w:val="0"/>
          <w:sz w:val="36"/>
          <w:szCs w:val="36"/>
        </w:rPr>
        <w:t>第二部分  部门（单位）决算情况说明</w:t>
      </w:r>
    </w:p>
    <w:p w14:paraId="028C0CB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56" w:firstLineChars="200"/>
        <w:jc w:val="both"/>
        <w:textAlignment w:val="auto"/>
        <w:rPr>
          <w:rFonts w:ascii="黑体" w:hAnsi="黑体" w:eastAsia="黑体" w:cs="黑体"/>
          <w:spacing w:val="9"/>
          <w:sz w:val="31"/>
          <w:szCs w:val="31"/>
        </w:rPr>
      </w:pPr>
      <w:r>
        <w:rPr>
          <w:rFonts w:ascii="黑体" w:hAnsi="黑体" w:eastAsia="黑体" w:cs="黑体"/>
          <w:spacing w:val="9"/>
          <w:sz w:val="31"/>
          <w:szCs w:val="31"/>
        </w:rPr>
        <w:t>收入支出决算总体情况说明</w:t>
      </w:r>
    </w:p>
    <w:p w14:paraId="576059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锡林郭勒盟能源局（部门）2023年度收入、支出决算总计</w:t>
      </w:r>
      <w:r>
        <w:rPr>
          <w:rFonts w:hint="eastAsia" w:ascii="仿宋" w:hAnsi="仿宋" w:eastAsia="仿宋" w:cs="仿宋"/>
          <w:spacing w:val="9"/>
          <w:sz w:val="31"/>
          <w:szCs w:val="31"/>
          <w:u w:val="single"/>
        </w:rPr>
        <w:t>1,574.32</w:t>
      </w:r>
      <w:r>
        <w:rPr>
          <w:rFonts w:hint="eastAsia" w:ascii="仿宋" w:hAnsi="仿宋" w:eastAsia="仿宋" w:cs="仿宋"/>
          <w:spacing w:val="9"/>
          <w:sz w:val="31"/>
          <w:szCs w:val="31"/>
        </w:rPr>
        <w:t>万元。与年初预算相比，收、支总计减少</w:t>
      </w:r>
      <w:r>
        <w:rPr>
          <w:rFonts w:hint="eastAsia" w:ascii="仿宋" w:hAnsi="仿宋" w:eastAsia="仿宋" w:cs="仿宋"/>
          <w:spacing w:val="9"/>
          <w:sz w:val="31"/>
          <w:szCs w:val="31"/>
          <w:u w:val="single"/>
        </w:rPr>
        <w:t>906.66</w:t>
      </w:r>
      <w:r>
        <w:rPr>
          <w:rFonts w:hint="eastAsia" w:ascii="仿宋" w:hAnsi="仿宋" w:eastAsia="仿宋" w:cs="仿宋"/>
          <w:spacing w:val="9"/>
          <w:sz w:val="31"/>
          <w:szCs w:val="31"/>
        </w:rPr>
        <w:t>万元，减少</w:t>
      </w:r>
      <w:r>
        <w:rPr>
          <w:rFonts w:hint="eastAsia" w:ascii="仿宋" w:hAnsi="仿宋" w:eastAsia="仿宋" w:cs="仿宋"/>
          <w:spacing w:val="9"/>
          <w:sz w:val="31"/>
          <w:szCs w:val="31"/>
          <w:u w:val="single"/>
        </w:rPr>
        <w:t>36.54%</w:t>
      </w:r>
      <w:r>
        <w:rPr>
          <w:rFonts w:hint="eastAsia" w:ascii="仿宋" w:hAnsi="仿宋" w:eastAsia="仿宋" w:cs="仿宋"/>
          <w:spacing w:val="9"/>
          <w:sz w:val="31"/>
          <w:szCs w:val="31"/>
        </w:rPr>
        <w:t>，变动原因</w:t>
      </w:r>
      <w:r>
        <w:rPr>
          <w:rFonts w:hint="eastAsia" w:ascii="仿宋" w:hAnsi="仿宋" w:eastAsia="仿宋" w:cs="仿宋"/>
          <w:spacing w:val="9"/>
          <w:sz w:val="31"/>
          <w:szCs w:val="31"/>
          <w:lang w:eastAsia="zh-CN"/>
        </w:rPr>
        <w:t>：</w:t>
      </w:r>
      <w:r>
        <w:rPr>
          <w:rFonts w:hint="eastAsia" w:ascii="仿宋" w:hAnsi="仿宋" w:eastAsia="仿宋" w:cs="仿宋"/>
          <w:spacing w:val="9"/>
          <w:sz w:val="31"/>
          <w:szCs w:val="31"/>
          <w:lang w:val="en-US" w:eastAsia="zh-CN"/>
        </w:rPr>
        <w:t>1.由于人员工资变动及社保、公积金变动，基本支出决算收入增加；2.项目支出经费收入较预算减少918.57万元，由于年初预算安排的部分项目经费产生结转结余导致决算预算收入减少</w:t>
      </w:r>
      <w:r>
        <w:rPr>
          <w:rFonts w:hint="eastAsia" w:ascii="仿宋" w:hAnsi="仿宋" w:eastAsia="仿宋" w:cs="仿宋"/>
          <w:spacing w:val="9"/>
          <w:sz w:val="31"/>
          <w:szCs w:val="31"/>
        </w:rPr>
        <w:t>；与上年决算相比，收、支总计各增加</w:t>
      </w:r>
      <w:r>
        <w:rPr>
          <w:rFonts w:hint="eastAsia" w:ascii="仿宋" w:hAnsi="仿宋" w:eastAsia="仿宋" w:cs="仿宋"/>
          <w:spacing w:val="9"/>
          <w:sz w:val="31"/>
          <w:szCs w:val="31"/>
          <w:u w:val="single"/>
        </w:rPr>
        <w:t>253.94</w:t>
      </w:r>
      <w:r>
        <w:rPr>
          <w:rFonts w:hint="eastAsia" w:ascii="仿宋" w:hAnsi="仿宋" w:eastAsia="仿宋" w:cs="仿宋"/>
          <w:spacing w:val="9"/>
          <w:sz w:val="31"/>
          <w:szCs w:val="31"/>
        </w:rPr>
        <w:t>万元，增长</w:t>
      </w:r>
      <w:r>
        <w:rPr>
          <w:rFonts w:hint="eastAsia" w:ascii="仿宋" w:hAnsi="仿宋" w:eastAsia="仿宋" w:cs="仿宋"/>
          <w:spacing w:val="9"/>
          <w:sz w:val="31"/>
          <w:szCs w:val="31"/>
          <w:u w:val="single"/>
        </w:rPr>
        <w:t>19.23</w:t>
      </w:r>
      <w:r>
        <w:rPr>
          <w:rFonts w:hint="eastAsia" w:ascii="仿宋" w:hAnsi="仿宋" w:eastAsia="仿宋" w:cs="仿宋"/>
          <w:spacing w:val="9"/>
          <w:sz w:val="31"/>
          <w:szCs w:val="31"/>
        </w:rPr>
        <w:t>%。其中：</w:t>
      </w:r>
    </w:p>
    <w:p w14:paraId="7EE672A9">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（一）收入决算总计</w:t>
      </w:r>
      <w:r>
        <w:rPr>
          <w:rFonts w:ascii="楷体" w:hAnsi="楷体" w:eastAsia="楷体" w:cs="楷体"/>
          <w:spacing w:val="5"/>
          <w:sz w:val="31"/>
          <w:szCs w:val="31"/>
          <w:u w:val="single"/>
        </w:rPr>
        <w:t>1,574.32</w:t>
      </w:r>
      <w:r>
        <w:rPr>
          <w:rFonts w:ascii="楷体" w:hAnsi="楷体" w:eastAsia="楷体" w:cs="楷体"/>
          <w:spacing w:val="5"/>
          <w:sz w:val="31"/>
          <w:szCs w:val="31"/>
        </w:rPr>
        <w:t>万元。包括：</w:t>
      </w:r>
    </w:p>
    <w:p w14:paraId="49990B19">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1.本年收入决算合计</w:t>
      </w:r>
      <w:r>
        <w:rPr>
          <w:rFonts w:hint="eastAsia" w:ascii="仿宋" w:hAnsi="仿宋" w:eastAsia="仿宋" w:cs="仿宋"/>
          <w:spacing w:val="9"/>
          <w:sz w:val="31"/>
          <w:szCs w:val="31"/>
          <w:u w:val="single"/>
        </w:rPr>
        <w:t>1,564.16</w:t>
      </w:r>
      <w:r>
        <w:rPr>
          <w:rFonts w:hint="eastAsia" w:ascii="仿宋" w:hAnsi="仿宋" w:eastAsia="仿宋" w:cs="仿宋"/>
          <w:spacing w:val="9"/>
          <w:sz w:val="31"/>
          <w:szCs w:val="31"/>
        </w:rPr>
        <w:t>万元。与上年决算相比，增加</w:t>
      </w:r>
      <w:r>
        <w:rPr>
          <w:rFonts w:hint="eastAsia" w:ascii="仿宋" w:hAnsi="仿宋" w:eastAsia="仿宋" w:cs="仿宋"/>
          <w:spacing w:val="9"/>
          <w:sz w:val="31"/>
          <w:szCs w:val="31"/>
          <w:u w:val="single"/>
        </w:rPr>
        <w:t>256.47</w:t>
      </w:r>
      <w:r>
        <w:rPr>
          <w:rFonts w:hint="eastAsia" w:ascii="仿宋" w:hAnsi="仿宋" w:eastAsia="仿宋" w:cs="仿宋"/>
          <w:spacing w:val="9"/>
          <w:sz w:val="31"/>
          <w:szCs w:val="31"/>
        </w:rPr>
        <w:t>万元，增长</w:t>
      </w:r>
      <w:r>
        <w:rPr>
          <w:rFonts w:hint="eastAsia" w:ascii="仿宋" w:hAnsi="仿宋" w:eastAsia="仿宋" w:cs="仿宋"/>
          <w:spacing w:val="9"/>
          <w:sz w:val="31"/>
          <w:szCs w:val="31"/>
          <w:u w:val="single"/>
        </w:rPr>
        <w:t>19.61</w:t>
      </w:r>
      <w:r>
        <w:rPr>
          <w:rFonts w:hint="eastAsia" w:ascii="仿宋" w:hAnsi="仿宋" w:eastAsia="仿宋" w:cs="仿宋"/>
          <w:spacing w:val="9"/>
          <w:sz w:val="31"/>
          <w:szCs w:val="31"/>
        </w:rPr>
        <w:t>%，变动原因：</w:t>
      </w:r>
      <w:r>
        <w:rPr>
          <w:rFonts w:hint="eastAsia" w:ascii="仿宋" w:hAnsi="仿宋" w:eastAsia="仿宋" w:cs="仿宋"/>
          <w:spacing w:val="9"/>
          <w:sz w:val="31"/>
          <w:szCs w:val="31"/>
          <w:lang w:eastAsia="zh-CN"/>
        </w:rPr>
        <w:t>本年在职人员工资、社保、住房公积金增加，使人员经费</w:t>
      </w:r>
      <w:r>
        <w:rPr>
          <w:rFonts w:hint="eastAsia" w:ascii="仿宋" w:hAnsi="仿宋" w:eastAsia="仿宋" w:cs="仿宋"/>
          <w:spacing w:val="9"/>
          <w:sz w:val="31"/>
          <w:szCs w:val="31"/>
          <w:lang w:val="en-US" w:eastAsia="zh-CN"/>
        </w:rPr>
        <w:t>收入</w:t>
      </w:r>
      <w:r>
        <w:rPr>
          <w:rFonts w:hint="eastAsia" w:ascii="仿宋" w:hAnsi="仿宋" w:eastAsia="仿宋" w:cs="仿宋"/>
          <w:spacing w:val="9"/>
          <w:sz w:val="31"/>
          <w:szCs w:val="31"/>
          <w:lang w:eastAsia="zh-CN"/>
        </w:rPr>
        <w:t>增加；本年支付招商引资工作经费</w:t>
      </w:r>
      <w:r>
        <w:rPr>
          <w:rFonts w:hint="eastAsia" w:ascii="仿宋" w:hAnsi="仿宋" w:eastAsia="仿宋" w:cs="仿宋"/>
          <w:spacing w:val="9"/>
          <w:sz w:val="31"/>
          <w:szCs w:val="31"/>
          <w:lang w:val="en-US" w:eastAsia="zh-CN"/>
        </w:rPr>
        <w:t>44.3万元，新能源调相机布局规划经费50.72万元；</w:t>
      </w:r>
      <w:r>
        <w:rPr>
          <w:rFonts w:hint="eastAsia" w:ascii="仿宋" w:hAnsi="仿宋" w:eastAsia="仿宋" w:cs="仿宋"/>
          <w:spacing w:val="9"/>
          <w:sz w:val="31"/>
          <w:szCs w:val="31"/>
          <w:lang w:eastAsia="zh-CN"/>
        </w:rPr>
        <w:t>东乌旗农乃庙煤炭矿区总体规划评审费</w:t>
      </w:r>
      <w:r>
        <w:rPr>
          <w:rFonts w:hint="eastAsia" w:ascii="仿宋" w:hAnsi="仿宋" w:eastAsia="仿宋" w:cs="仿宋"/>
          <w:spacing w:val="9"/>
          <w:sz w:val="31"/>
          <w:szCs w:val="31"/>
          <w:lang w:val="en-US" w:eastAsia="zh-CN"/>
        </w:rPr>
        <w:t>50万元，上年无以上项目经费</w:t>
      </w:r>
      <w:r>
        <w:rPr>
          <w:rFonts w:hint="eastAsia" w:ascii="仿宋" w:hAnsi="仿宋" w:eastAsia="仿宋" w:cs="仿宋"/>
          <w:spacing w:val="9"/>
          <w:sz w:val="31"/>
          <w:szCs w:val="31"/>
        </w:rPr>
        <w:t>。</w:t>
      </w:r>
    </w:p>
    <w:p w14:paraId="46C3AFBD">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 xml:space="preserve">2.使用非财政拨款结余和专用结余 </w:t>
      </w:r>
      <w:r>
        <w:rPr>
          <w:rFonts w:hint="eastAsia" w:ascii="仿宋" w:hAnsi="仿宋" w:eastAsia="仿宋" w:cs="仿宋"/>
          <w:spacing w:val="9"/>
          <w:sz w:val="31"/>
          <w:szCs w:val="31"/>
          <w:u w:val="single"/>
        </w:rPr>
        <w:t>0.00</w:t>
      </w:r>
      <w:r>
        <w:rPr>
          <w:rFonts w:hint="eastAsia" w:ascii="仿宋" w:hAnsi="仿宋" w:eastAsia="仿宋" w:cs="仿宋"/>
          <w:spacing w:val="9"/>
          <w:sz w:val="31"/>
          <w:szCs w:val="31"/>
        </w:rPr>
        <w:t>万元。与上年决算相比，增加（减少）</w:t>
      </w:r>
      <w:r>
        <w:rPr>
          <w:rFonts w:hint="eastAsia" w:ascii="仿宋" w:hAnsi="仿宋" w:eastAsia="仿宋" w:cs="仿宋"/>
          <w:spacing w:val="9"/>
          <w:sz w:val="31"/>
          <w:szCs w:val="31"/>
          <w:u w:val="single"/>
        </w:rPr>
        <w:t>0.00</w:t>
      </w:r>
      <w:r>
        <w:rPr>
          <w:rFonts w:hint="eastAsia" w:ascii="仿宋" w:hAnsi="仿宋" w:eastAsia="仿宋" w:cs="仿宋"/>
          <w:spacing w:val="9"/>
          <w:sz w:val="31"/>
          <w:szCs w:val="31"/>
        </w:rPr>
        <w:t>万元，增长（减少）</w:t>
      </w:r>
      <w:r>
        <w:rPr>
          <w:rFonts w:ascii="宋体" w:hAnsi="宋体" w:eastAsia="宋体" w:cs="宋体"/>
          <w:spacing w:val="-62"/>
          <w:sz w:val="31"/>
          <w:szCs w:val="31"/>
        </w:rPr>
        <w:t xml:space="preserve"> </w:t>
      </w:r>
      <w:r>
        <w:rPr>
          <w:rFonts w:ascii="Times New Roman" w:hAnsi="Times New Roman" w:eastAsia="Times New Roman" w:cs="Times New Roman"/>
          <w:spacing w:val="5"/>
          <w:sz w:val="31"/>
          <w:szCs w:val="31"/>
          <w:u w:val="single" w:color="auto"/>
        </w:rPr>
        <w:t>0.00</w:t>
      </w:r>
      <w:r>
        <w:rPr>
          <w:rFonts w:ascii="宋体" w:hAnsi="宋体" w:eastAsia="宋体" w:cs="宋体"/>
          <w:spacing w:val="5"/>
          <w:sz w:val="31"/>
          <w:szCs w:val="31"/>
        </w:rPr>
        <w:t>%</w:t>
      </w:r>
      <w:r>
        <w:rPr>
          <w:rFonts w:hint="eastAsia" w:ascii="仿宋" w:hAnsi="仿宋" w:eastAsia="仿宋" w:cs="仿宋"/>
          <w:spacing w:val="9"/>
          <w:sz w:val="31"/>
          <w:szCs w:val="31"/>
        </w:rPr>
        <w:t>，变动原因：无此项内容。</w:t>
      </w:r>
    </w:p>
    <w:p w14:paraId="2C9171F3">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3.年初结转和结余</w:t>
      </w:r>
      <w:r>
        <w:rPr>
          <w:rFonts w:hint="eastAsia" w:ascii="仿宋" w:hAnsi="仿宋" w:eastAsia="仿宋" w:cs="仿宋"/>
          <w:spacing w:val="9"/>
          <w:sz w:val="31"/>
          <w:szCs w:val="31"/>
          <w:u w:val="single"/>
        </w:rPr>
        <w:t>10.15</w:t>
      </w:r>
      <w:r>
        <w:rPr>
          <w:rFonts w:hint="eastAsia" w:ascii="仿宋" w:hAnsi="仿宋" w:eastAsia="仿宋" w:cs="仿宋"/>
          <w:spacing w:val="9"/>
          <w:sz w:val="31"/>
          <w:szCs w:val="31"/>
        </w:rPr>
        <w:t>万元。与上年决算相比，减少</w:t>
      </w:r>
      <w:r>
        <w:rPr>
          <w:rFonts w:hint="eastAsia" w:ascii="仿宋" w:hAnsi="仿宋" w:eastAsia="仿宋" w:cs="仿宋"/>
          <w:spacing w:val="9"/>
          <w:sz w:val="31"/>
          <w:szCs w:val="31"/>
          <w:u w:val="single"/>
        </w:rPr>
        <w:t>2.53</w:t>
      </w:r>
      <w:r>
        <w:rPr>
          <w:rFonts w:hint="eastAsia" w:ascii="仿宋" w:hAnsi="仿宋" w:eastAsia="仿宋" w:cs="仿宋"/>
          <w:spacing w:val="9"/>
          <w:sz w:val="31"/>
          <w:szCs w:val="31"/>
        </w:rPr>
        <w:t>万元，减少</w:t>
      </w:r>
      <w:r>
        <w:rPr>
          <w:rFonts w:hint="eastAsia" w:ascii="仿宋" w:hAnsi="仿宋" w:eastAsia="仿宋" w:cs="仿宋"/>
          <w:spacing w:val="9"/>
          <w:sz w:val="31"/>
          <w:szCs w:val="31"/>
          <w:u w:val="single"/>
        </w:rPr>
        <w:t>19.92</w:t>
      </w:r>
      <w:r>
        <w:rPr>
          <w:rFonts w:hint="eastAsia" w:ascii="仿宋" w:hAnsi="仿宋" w:eastAsia="仿宋" w:cs="仿宋"/>
          <w:spacing w:val="9"/>
          <w:sz w:val="31"/>
          <w:szCs w:val="31"/>
        </w:rPr>
        <w:t>%，变动原因</w:t>
      </w:r>
      <w:r>
        <w:rPr>
          <w:rFonts w:hint="eastAsia" w:ascii="仿宋" w:hAnsi="仿宋" w:eastAsia="仿宋" w:cs="仿宋"/>
          <w:spacing w:val="9"/>
          <w:sz w:val="31"/>
          <w:szCs w:val="31"/>
          <w:lang w:val="en-US" w:eastAsia="zh-CN"/>
        </w:rPr>
        <w:t>：锡林郭勒盟能源局（本级）、</w:t>
      </w:r>
      <w:r>
        <w:rPr>
          <w:rFonts w:hint="eastAsia" w:ascii="仿宋" w:hAnsi="仿宋" w:eastAsia="仿宋" w:cs="仿宋"/>
          <w:spacing w:val="9"/>
          <w:sz w:val="31"/>
          <w:szCs w:val="31"/>
        </w:rPr>
        <w:t>锡林郭勒盟能源综合执法支队</w:t>
      </w:r>
      <w:r>
        <w:rPr>
          <w:rFonts w:hint="eastAsia" w:ascii="仿宋" w:hAnsi="仿宋" w:eastAsia="仿宋" w:cs="仿宋"/>
          <w:spacing w:val="9"/>
          <w:sz w:val="31"/>
          <w:szCs w:val="31"/>
          <w:lang w:val="en-US" w:eastAsia="zh-CN"/>
        </w:rPr>
        <w:t>和</w:t>
      </w:r>
      <w:r>
        <w:rPr>
          <w:rFonts w:hint="eastAsia" w:ascii="仿宋" w:hAnsi="仿宋" w:eastAsia="仿宋" w:cs="仿宋"/>
          <w:spacing w:val="9"/>
          <w:sz w:val="31"/>
          <w:szCs w:val="31"/>
        </w:rPr>
        <w:t>锡林郭勒盟能源局综合保障中心</w:t>
      </w:r>
      <w:r>
        <w:rPr>
          <w:rFonts w:hint="eastAsia" w:ascii="仿宋" w:hAnsi="仿宋" w:eastAsia="仿宋" w:cs="仿宋"/>
          <w:spacing w:val="9"/>
          <w:sz w:val="31"/>
          <w:szCs w:val="31"/>
          <w:lang w:val="en-US" w:eastAsia="zh-CN"/>
        </w:rPr>
        <w:t>应缴个人所得税、利息等款项减少。</w:t>
      </w:r>
    </w:p>
    <w:p w14:paraId="515C4761">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Calibri" w:hAnsi="Calibri" w:eastAsia="Calibri" w:cs="Calibri"/>
          <w:b/>
          <w:bCs/>
          <w:kern w:val="0"/>
          <w:sz w:val="27"/>
          <w:szCs w:val="27"/>
        </w:rPr>
      </w:pPr>
      <w:r>
        <w:rPr>
          <w:rFonts w:ascii="楷体" w:hAnsi="楷体" w:eastAsia="楷体" w:cs="楷体"/>
          <w:spacing w:val="5"/>
          <w:sz w:val="31"/>
          <w:szCs w:val="31"/>
        </w:rPr>
        <w:t>（二）支出决算总计</w:t>
      </w:r>
      <w:r>
        <w:rPr>
          <w:rFonts w:ascii="楷体" w:hAnsi="楷体" w:eastAsia="楷体" w:cs="楷体"/>
          <w:spacing w:val="5"/>
          <w:sz w:val="31"/>
          <w:szCs w:val="31"/>
          <w:u w:val="single"/>
        </w:rPr>
        <w:t>1,574.32</w:t>
      </w:r>
      <w:r>
        <w:rPr>
          <w:rFonts w:ascii="楷体" w:hAnsi="楷体" w:eastAsia="楷体" w:cs="楷体"/>
          <w:spacing w:val="5"/>
          <w:sz w:val="31"/>
          <w:szCs w:val="31"/>
        </w:rPr>
        <w:t>万元。包括：</w:t>
      </w:r>
    </w:p>
    <w:p w14:paraId="470F0F4C">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rPr>
        <w:t>1.本年支出决算合计</w:t>
      </w:r>
      <w:r>
        <w:rPr>
          <w:rFonts w:hint="eastAsia" w:ascii="仿宋" w:hAnsi="仿宋" w:eastAsia="仿宋" w:cs="仿宋"/>
          <w:spacing w:val="9"/>
          <w:sz w:val="31"/>
          <w:szCs w:val="31"/>
          <w:u w:val="single"/>
        </w:rPr>
        <w:t>1,562.41</w:t>
      </w:r>
      <w:r>
        <w:rPr>
          <w:rFonts w:hint="eastAsia" w:ascii="仿宋" w:hAnsi="仿宋" w:eastAsia="仿宋" w:cs="仿宋"/>
          <w:spacing w:val="9"/>
          <w:sz w:val="31"/>
          <w:szCs w:val="31"/>
        </w:rPr>
        <w:t>万元。与上年决算相比，增加</w:t>
      </w:r>
      <w:r>
        <w:rPr>
          <w:rFonts w:hint="eastAsia" w:ascii="仿宋" w:hAnsi="仿宋" w:eastAsia="仿宋" w:cs="仿宋"/>
          <w:spacing w:val="9"/>
          <w:sz w:val="31"/>
          <w:szCs w:val="31"/>
          <w:u w:val="single"/>
        </w:rPr>
        <w:t>252.20</w:t>
      </w:r>
      <w:r>
        <w:rPr>
          <w:rFonts w:hint="eastAsia" w:ascii="仿宋" w:hAnsi="仿宋" w:eastAsia="仿宋" w:cs="仿宋"/>
          <w:spacing w:val="9"/>
          <w:sz w:val="31"/>
          <w:szCs w:val="31"/>
        </w:rPr>
        <w:t>万元，增长</w:t>
      </w:r>
      <w:r>
        <w:rPr>
          <w:rFonts w:hint="eastAsia" w:ascii="仿宋" w:hAnsi="仿宋" w:eastAsia="仿宋" w:cs="仿宋"/>
          <w:spacing w:val="9"/>
          <w:sz w:val="31"/>
          <w:szCs w:val="31"/>
          <w:u w:val="single"/>
        </w:rPr>
        <w:t>19.25</w:t>
      </w:r>
      <w:r>
        <w:rPr>
          <w:rFonts w:hint="eastAsia" w:ascii="仿宋" w:hAnsi="仿宋" w:eastAsia="仿宋" w:cs="仿宋"/>
          <w:spacing w:val="9"/>
          <w:sz w:val="31"/>
          <w:szCs w:val="31"/>
        </w:rPr>
        <w:t>%，变动原因</w:t>
      </w:r>
      <w:r>
        <w:rPr>
          <w:rFonts w:hint="eastAsia" w:ascii="仿宋" w:hAnsi="仿宋" w:eastAsia="仿宋" w:cs="仿宋"/>
          <w:spacing w:val="9"/>
          <w:sz w:val="31"/>
          <w:szCs w:val="31"/>
          <w:lang w:eastAsia="zh-CN"/>
        </w:rPr>
        <w:t>：本年在职人员工资、社保、住房公积金增加，使人员经费支出增加。</w:t>
      </w:r>
      <w:r>
        <w:rPr>
          <w:rFonts w:hint="eastAsia" w:ascii="仿宋" w:hAnsi="仿宋" w:eastAsia="仿宋" w:cs="仿宋"/>
          <w:spacing w:val="9"/>
          <w:sz w:val="31"/>
          <w:szCs w:val="31"/>
          <w:lang w:val="en-US" w:eastAsia="zh-CN"/>
        </w:rPr>
        <w:t>项目支出523.82万元，</w:t>
      </w:r>
      <w:r>
        <w:rPr>
          <w:rFonts w:hint="eastAsia" w:ascii="仿宋" w:hAnsi="仿宋" w:eastAsia="仿宋" w:cs="仿宋"/>
          <w:spacing w:val="9"/>
          <w:sz w:val="31"/>
          <w:szCs w:val="31"/>
        </w:rPr>
        <w:t>较上年增加</w:t>
      </w:r>
      <w:r>
        <w:rPr>
          <w:rFonts w:hint="eastAsia" w:ascii="仿宋" w:hAnsi="仿宋" w:eastAsia="仿宋" w:cs="仿宋"/>
          <w:spacing w:val="9"/>
          <w:sz w:val="31"/>
          <w:szCs w:val="31"/>
          <w:lang w:val="en-US" w:eastAsia="zh-CN"/>
        </w:rPr>
        <w:t>151.13</w:t>
      </w:r>
      <w:r>
        <w:rPr>
          <w:rFonts w:hint="eastAsia" w:ascii="仿宋" w:hAnsi="仿宋" w:eastAsia="仿宋" w:cs="仿宋"/>
          <w:spacing w:val="9"/>
          <w:sz w:val="31"/>
          <w:szCs w:val="31"/>
        </w:rPr>
        <w:t>万元</w:t>
      </w:r>
      <w:r>
        <w:rPr>
          <w:rFonts w:hint="eastAsia" w:ascii="仿宋" w:hAnsi="仿宋" w:eastAsia="仿宋" w:cs="仿宋"/>
          <w:spacing w:val="9"/>
          <w:sz w:val="31"/>
          <w:szCs w:val="31"/>
          <w:lang w:eastAsia="zh-CN"/>
        </w:rPr>
        <w:t>。增加原因为本年支付招商引资工作经费</w:t>
      </w:r>
      <w:r>
        <w:rPr>
          <w:rFonts w:hint="eastAsia" w:ascii="仿宋" w:hAnsi="仿宋" w:eastAsia="仿宋" w:cs="仿宋"/>
          <w:spacing w:val="9"/>
          <w:sz w:val="31"/>
          <w:szCs w:val="31"/>
          <w:lang w:val="en-US" w:eastAsia="zh-CN"/>
        </w:rPr>
        <w:t>44.3万元，新能源调相机布局规划经费50.72万元；</w:t>
      </w:r>
      <w:r>
        <w:rPr>
          <w:rFonts w:hint="eastAsia" w:ascii="仿宋" w:hAnsi="仿宋" w:eastAsia="仿宋" w:cs="仿宋"/>
          <w:spacing w:val="9"/>
          <w:sz w:val="31"/>
          <w:szCs w:val="31"/>
          <w:lang w:eastAsia="zh-CN"/>
        </w:rPr>
        <w:t>东乌旗农乃庙煤炭矿区</w:t>
      </w:r>
      <w:r>
        <w:rPr>
          <w:rFonts w:hint="eastAsia" w:ascii="仿宋" w:hAnsi="仿宋" w:eastAsia="仿宋" w:cs="仿宋"/>
          <w:spacing w:val="9"/>
          <w:sz w:val="31"/>
          <w:szCs w:val="31"/>
          <w:lang w:val="en-US" w:eastAsia="zh-CN"/>
        </w:rPr>
        <w:t>总体规划评审费50万元，上年无以上项目经费。</w:t>
      </w:r>
    </w:p>
    <w:p w14:paraId="2563ABD4">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2.结余分配</w:t>
      </w:r>
      <w:r>
        <w:rPr>
          <w:rFonts w:hint="eastAsia" w:ascii="仿宋" w:hAnsi="仿宋" w:eastAsia="仿宋" w:cs="仿宋"/>
          <w:spacing w:val="9"/>
          <w:sz w:val="31"/>
          <w:szCs w:val="31"/>
          <w:u w:val="single"/>
          <w:lang w:val="en-US" w:eastAsia="zh-CN"/>
        </w:rPr>
        <w:t>0.01</w:t>
      </w:r>
      <w:r>
        <w:rPr>
          <w:rFonts w:hint="eastAsia" w:ascii="仿宋" w:hAnsi="仿宋" w:eastAsia="仿宋" w:cs="仿宋"/>
          <w:spacing w:val="9"/>
          <w:sz w:val="31"/>
          <w:szCs w:val="31"/>
          <w:lang w:val="en-US" w:eastAsia="zh-CN"/>
        </w:rPr>
        <w:t>万元。结余分配事项为</w:t>
      </w:r>
      <w:r>
        <w:rPr>
          <w:rFonts w:hint="eastAsia" w:ascii="仿宋" w:hAnsi="仿宋" w:eastAsia="仿宋" w:cs="仿宋"/>
          <w:spacing w:val="9"/>
          <w:sz w:val="31"/>
          <w:szCs w:val="31"/>
        </w:rPr>
        <w:t>锡林郭勒盟能源综合执法支队</w:t>
      </w:r>
      <w:r>
        <w:rPr>
          <w:rFonts w:hint="eastAsia" w:ascii="仿宋" w:hAnsi="仿宋" w:eastAsia="仿宋" w:cs="仿宋"/>
          <w:spacing w:val="9"/>
          <w:sz w:val="31"/>
          <w:szCs w:val="31"/>
          <w:lang w:val="en-US" w:eastAsia="zh-CN"/>
        </w:rPr>
        <w:t>和</w:t>
      </w:r>
      <w:r>
        <w:rPr>
          <w:rFonts w:hint="eastAsia" w:ascii="仿宋" w:hAnsi="仿宋" w:eastAsia="仿宋" w:cs="仿宋"/>
          <w:spacing w:val="9"/>
          <w:sz w:val="31"/>
          <w:szCs w:val="31"/>
        </w:rPr>
        <w:t>锡林郭勒盟能源局综合保障中心</w:t>
      </w:r>
      <w:r>
        <w:rPr>
          <w:rFonts w:hint="eastAsia" w:ascii="仿宋" w:hAnsi="仿宋" w:eastAsia="仿宋" w:cs="仿宋"/>
          <w:spacing w:val="9"/>
          <w:sz w:val="31"/>
          <w:szCs w:val="31"/>
          <w:lang w:val="en-US" w:eastAsia="zh-CN"/>
        </w:rPr>
        <w:t>利息收入结余。与上年决算相比，减少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万元，减少</w:t>
      </w:r>
      <w:r>
        <w:rPr>
          <w:rFonts w:hint="eastAsia" w:ascii="仿宋" w:hAnsi="仿宋" w:eastAsia="仿宋" w:cs="仿宋"/>
          <w:spacing w:val="9"/>
          <w:sz w:val="31"/>
          <w:szCs w:val="31"/>
          <w:u w:val="single"/>
          <w:lang w:val="en-US" w:eastAsia="zh-CN"/>
        </w:rPr>
        <w:t>19.66</w:t>
      </w:r>
      <w:r>
        <w:rPr>
          <w:rFonts w:hint="eastAsia" w:ascii="仿宋" w:hAnsi="仿宋" w:eastAsia="仿宋" w:cs="仿宋"/>
          <w:spacing w:val="9"/>
          <w:sz w:val="31"/>
          <w:szCs w:val="31"/>
          <w:lang w:val="en-US" w:eastAsia="zh-CN"/>
        </w:rPr>
        <w:t>%，变动原因：银行存款减少，利息收入较上年减少。</w:t>
      </w:r>
    </w:p>
    <w:p w14:paraId="0A1794DD">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3.年末结转和结余</w:t>
      </w:r>
      <w:r>
        <w:rPr>
          <w:rFonts w:hint="eastAsia" w:ascii="仿宋" w:hAnsi="仿宋" w:eastAsia="仿宋" w:cs="仿宋"/>
          <w:spacing w:val="9"/>
          <w:sz w:val="31"/>
          <w:szCs w:val="31"/>
          <w:u w:val="single"/>
          <w:lang w:val="en-US" w:eastAsia="zh-CN"/>
        </w:rPr>
        <w:t>11.90</w:t>
      </w:r>
      <w:r>
        <w:rPr>
          <w:rFonts w:hint="eastAsia" w:ascii="仿宋" w:hAnsi="仿宋" w:eastAsia="仿宋" w:cs="仿宋"/>
          <w:spacing w:val="9"/>
          <w:sz w:val="31"/>
          <w:szCs w:val="31"/>
          <w:lang w:val="en-US" w:eastAsia="zh-CN"/>
        </w:rPr>
        <w:t>万元。结转和结余事项:锡林郭勒盟能源局年末结转结余11.66万元（财政拨款基本支出结转5.45万元、财政拨款项目支出结转5.69万元、非财政拨款结余0.52万元）。</w:t>
      </w:r>
      <w:r>
        <w:rPr>
          <w:rFonts w:hint="eastAsia" w:ascii="仿宋" w:hAnsi="仿宋" w:eastAsia="仿宋" w:cs="仿宋"/>
          <w:spacing w:val="9"/>
          <w:sz w:val="31"/>
          <w:szCs w:val="31"/>
        </w:rPr>
        <w:t>锡林郭勒盟能源综合执法支队</w:t>
      </w:r>
      <w:r>
        <w:rPr>
          <w:rFonts w:hint="eastAsia" w:ascii="仿宋" w:hAnsi="仿宋" w:eastAsia="仿宋" w:cs="仿宋"/>
          <w:spacing w:val="9"/>
          <w:sz w:val="31"/>
          <w:szCs w:val="31"/>
          <w:lang w:val="en-US" w:eastAsia="zh-CN"/>
        </w:rPr>
        <w:t>年末结转结余0.18万元（财政拨款基本支出结转0.17万元、非财政拨款结余0.1元）。</w:t>
      </w:r>
      <w:r>
        <w:rPr>
          <w:rFonts w:hint="eastAsia" w:ascii="仿宋" w:hAnsi="仿宋" w:eastAsia="仿宋" w:cs="仿宋"/>
          <w:spacing w:val="9"/>
          <w:sz w:val="31"/>
          <w:szCs w:val="31"/>
        </w:rPr>
        <w:t>锡林郭勒盟能源局综合保障中心</w:t>
      </w:r>
      <w:r>
        <w:rPr>
          <w:rFonts w:hint="eastAsia" w:ascii="仿宋" w:hAnsi="仿宋" w:eastAsia="仿宋" w:cs="仿宋"/>
          <w:spacing w:val="9"/>
          <w:sz w:val="31"/>
          <w:szCs w:val="31"/>
          <w:lang w:val="en-US" w:eastAsia="zh-CN"/>
        </w:rPr>
        <w:t>年末结转结余0.07万元（财政拨款基本支出结转0.07万元、非财政拨款结余0元）。与上年决算相比，增加</w:t>
      </w:r>
      <w:r>
        <w:rPr>
          <w:rFonts w:hint="eastAsia" w:ascii="仿宋" w:hAnsi="仿宋" w:eastAsia="仿宋" w:cs="仿宋"/>
          <w:spacing w:val="9"/>
          <w:sz w:val="31"/>
          <w:szCs w:val="31"/>
          <w:u w:val="single"/>
          <w:lang w:val="en-US" w:eastAsia="zh-CN"/>
        </w:rPr>
        <w:t>1.74</w:t>
      </w:r>
      <w:r>
        <w:rPr>
          <w:rFonts w:hint="eastAsia" w:ascii="仿宋" w:hAnsi="仿宋" w:eastAsia="仿宋" w:cs="仿宋"/>
          <w:spacing w:val="9"/>
          <w:sz w:val="31"/>
          <w:szCs w:val="31"/>
          <w:lang w:val="en-US" w:eastAsia="zh-CN"/>
        </w:rPr>
        <w:t>万元，增长</w:t>
      </w:r>
      <w:r>
        <w:rPr>
          <w:rFonts w:hint="eastAsia" w:ascii="仿宋" w:hAnsi="仿宋" w:eastAsia="仿宋" w:cs="仿宋"/>
          <w:spacing w:val="9"/>
          <w:sz w:val="31"/>
          <w:szCs w:val="31"/>
          <w:u w:val="single"/>
          <w:lang w:val="en-US" w:eastAsia="zh-CN"/>
        </w:rPr>
        <w:t>17.17</w:t>
      </w:r>
      <w:r>
        <w:rPr>
          <w:rFonts w:hint="eastAsia" w:ascii="仿宋" w:hAnsi="仿宋" w:eastAsia="仿宋" w:cs="仿宋"/>
          <w:spacing w:val="9"/>
          <w:sz w:val="31"/>
          <w:szCs w:val="31"/>
          <w:lang w:val="en-US" w:eastAsia="zh-CN"/>
        </w:rPr>
        <w:t>%，变动原因：单位部分保险费及12月未交个人所得税结转。</w:t>
      </w:r>
    </w:p>
    <w:p w14:paraId="4C523A0C">
      <w:pPr>
        <w:keepNext w:val="0"/>
        <w:keepLines w:val="0"/>
        <w:pageBreakBefore w:val="0"/>
        <w:widowControl/>
        <w:kinsoku/>
        <w:wordWrap/>
        <w:overflowPunct/>
        <w:topLinePunct w:val="0"/>
        <w:autoSpaceDE/>
        <w:autoSpaceDN/>
        <w:bidi w:val="0"/>
        <w:adjustRightInd/>
        <w:snapToGrid/>
        <w:spacing w:line="360" w:lineRule="auto"/>
        <w:ind w:firstLine="620" w:firstLineChars="200"/>
        <w:jc w:val="both"/>
        <w:textAlignment w:val="auto"/>
        <w:rPr>
          <w:rFonts w:ascii="Times New Roman" w:hAnsi="Times New Roman" w:eastAsia="Times New Roman" w:cs="Times New Roman"/>
          <w:b w:val="0"/>
          <w:bCs w:val="0"/>
          <w:kern w:val="0"/>
          <w:sz w:val="31"/>
          <w:szCs w:val="31"/>
        </w:rPr>
      </w:pPr>
      <w:r>
        <w:rPr>
          <w:rFonts w:ascii="黑体" w:hAnsi="黑体" w:eastAsia="黑体" w:cs="黑体"/>
          <w:b w:val="0"/>
          <w:bCs w:val="0"/>
          <w:kern w:val="0"/>
          <w:sz w:val="31"/>
          <w:szCs w:val="31"/>
        </w:rPr>
        <w:t>二、收入决算情况说明</w:t>
      </w:r>
    </w:p>
    <w:p w14:paraId="53614A4D">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锡林郭勒盟能源局（部门）2023年度本年收入决算合计</w:t>
      </w:r>
      <w:r>
        <w:rPr>
          <w:rFonts w:hint="eastAsia" w:ascii="仿宋" w:hAnsi="仿宋" w:eastAsia="仿宋" w:cs="仿宋"/>
          <w:spacing w:val="9"/>
          <w:sz w:val="31"/>
          <w:szCs w:val="31"/>
          <w:u w:val="single"/>
          <w:lang w:val="en-US" w:eastAsia="zh-CN"/>
        </w:rPr>
        <w:t>1,564.16</w:t>
      </w:r>
      <w:r>
        <w:rPr>
          <w:rFonts w:hint="eastAsia" w:ascii="仿宋" w:hAnsi="仿宋" w:eastAsia="仿宋" w:cs="仿宋"/>
          <w:spacing w:val="9"/>
          <w:sz w:val="31"/>
          <w:szCs w:val="31"/>
          <w:lang w:val="en-US" w:eastAsia="zh-CN"/>
        </w:rPr>
        <w:t>万元，其中：</w:t>
      </w:r>
    </w:p>
    <w:p w14:paraId="0B4EE0B2">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本年一般公共预算财政拨款收入</w:t>
      </w:r>
      <w:r>
        <w:rPr>
          <w:rFonts w:hint="eastAsia" w:ascii="仿宋" w:hAnsi="仿宋" w:eastAsia="仿宋" w:cs="仿宋"/>
          <w:spacing w:val="9"/>
          <w:sz w:val="31"/>
          <w:szCs w:val="31"/>
          <w:u w:val="single"/>
          <w:lang w:val="en-US" w:eastAsia="zh-CN"/>
        </w:rPr>
        <w:t>1,564.15</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100.00</w:t>
      </w:r>
      <w:r>
        <w:rPr>
          <w:rFonts w:hint="eastAsia" w:ascii="仿宋" w:hAnsi="仿宋" w:eastAsia="仿宋" w:cs="仿宋"/>
          <w:spacing w:val="9"/>
          <w:sz w:val="31"/>
          <w:szCs w:val="31"/>
          <w:lang w:val="en-US" w:eastAsia="zh-CN"/>
        </w:rPr>
        <w:t>%；</w:t>
      </w:r>
    </w:p>
    <w:p w14:paraId="1136ABD9">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本年政府性基金预算财政拨款收入</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3BD27CC4">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本年国有资本经营预算财政拨款收入</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7A4E227B">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本年上级补助收入</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484BBEEE">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本年事业收入</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208202D0">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本年经营收入</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673ADDC7">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本年附属单位上缴收入</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4A3BC910">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本年其他收入</w:t>
      </w:r>
      <w:r>
        <w:rPr>
          <w:rFonts w:hint="eastAsia" w:ascii="仿宋" w:hAnsi="仿宋" w:eastAsia="仿宋" w:cs="仿宋"/>
          <w:spacing w:val="9"/>
          <w:sz w:val="31"/>
          <w:szCs w:val="31"/>
          <w:u w:val="single"/>
          <w:lang w:val="en-US" w:eastAsia="zh-CN"/>
        </w:rPr>
        <w:t>0.01</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5C24F3D8">
      <w:pPr>
        <w:widowControl/>
        <w:spacing w:before="240" w:after="240"/>
        <w:jc w:val="center"/>
        <w:rPr>
          <w:rFonts w:ascii="fang_song_gb2312" w:hAnsi="fang_song_gb2312" w:eastAsia="fang_song_gb2312" w:cs="fang_song_gb2312"/>
          <w:color w:val="0E00FE"/>
          <w:kern w:val="0"/>
          <w:sz w:val="27"/>
          <w:szCs w:val="27"/>
        </w:rPr>
      </w:pP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p>
    <w:p w14:paraId="6B780AFF">
      <w:pPr>
        <w:pStyle w:val="20"/>
        <w:rPr>
          <w:rFonts w:hint="eastAsia"/>
          <w:lang w:eastAsia="zh-CN"/>
        </w:rPr>
      </w:pPr>
      <w:r>
        <w:rPr>
          <w:rFonts w:hint="eastAsia"/>
          <w:position w:val="-70"/>
          <w:lang w:val="en-US" w:eastAsia="zh-CN"/>
        </w:rPr>
        <w:t xml:space="preserve"> </w:t>
      </w:r>
      <w:r>
        <w:drawing>
          <wp:inline distT="0" distB="0" distL="114300" distR="114300">
            <wp:extent cx="4636135" cy="2771775"/>
            <wp:effectExtent l="4445" t="5080" r="7620" b="61595"/>
            <wp:docPr id="2" name="图表 1" descr="7b0a202020202263686172745265734964223a202232303437363132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position w:val="-70"/>
          <w:lang w:val="en-US" w:eastAsia="zh-CN"/>
        </w:rPr>
        <w:t xml:space="preserve">        </w:t>
      </w:r>
    </w:p>
    <w:p w14:paraId="440CF76C">
      <w:pPr>
        <w:keepNext w:val="0"/>
        <w:keepLines w:val="0"/>
        <w:pageBreakBefore w:val="0"/>
        <w:widowControl/>
        <w:kinsoku/>
        <w:wordWrap/>
        <w:overflowPunct/>
        <w:topLinePunct w:val="0"/>
        <w:autoSpaceDE/>
        <w:autoSpaceDN/>
        <w:bidi w:val="0"/>
        <w:adjustRightInd/>
        <w:snapToGrid/>
        <w:spacing w:line="360" w:lineRule="auto"/>
        <w:ind w:firstLine="620" w:firstLineChars="200"/>
        <w:jc w:val="both"/>
        <w:textAlignment w:val="auto"/>
        <w:rPr>
          <w:rFonts w:ascii="Times New Roman" w:hAnsi="Times New Roman" w:eastAsia="Times New Roman" w:cs="Times New Roman"/>
          <w:b w:val="0"/>
          <w:bCs w:val="0"/>
          <w:kern w:val="0"/>
          <w:sz w:val="31"/>
          <w:szCs w:val="31"/>
        </w:rPr>
      </w:pPr>
      <w:r>
        <w:rPr>
          <w:rFonts w:ascii="黑体" w:hAnsi="黑体" w:eastAsia="黑体" w:cs="黑体"/>
          <w:b w:val="0"/>
          <w:bCs w:val="0"/>
          <w:kern w:val="0"/>
          <w:sz w:val="31"/>
          <w:szCs w:val="31"/>
        </w:rPr>
        <w:t>三、支出决算情况说明</w:t>
      </w:r>
    </w:p>
    <w:p w14:paraId="2D75003D">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锡林郭勒盟能源局（部门）2023年度本年支出决算合计</w:t>
      </w:r>
      <w:r>
        <w:rPr>
          <w:rFonts w:hint="eastAsia" w:ascii="仿宋" w:hAnsi="仿宋" w:eastAsia="仿宋" w:cs="仿宋"/>
          <w:spacing w:val="9"/>
          <w:sz w:val="31"/>
          <w:szCs w:val="31"/>
          <w:u w:val="single"/>
          <w:lang w:val="en-US" w:eastAsia="zh-CN"/>
        </w:rPr>
        <w:t>1,562.41</w:t>
      </w:r>
      <w:r>
        <w:rPr>
          <w:rFonts w:hint="eastAsia" w:ascii="仿宋" w:hAnsi="仿宋" w:eastAsia="仿宋" w:cs="仿宋"/>
          <w:spacing w:val="9"/>
          <w:sz w:val="31"/>
          <w:szCs w:val="31"/>
          <w:lang w:val="en-US" w:eastAsia="zh-CN"/>
        </w:rPr>
        <w:t>万元，其中：</w:t>
      </w:r>
    </w:p>
    <w:p w14:paraId="0BB06488">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本年基本支出</w:t>
      </w:r>
      <w:r>
        <w:rPr>
          <w:rFonts w:hint="eastAsia" w:ascii="仿宋" w:hAnsi="仿宋" w:eastAsia="仿宋" w:cs="仿宋"/>
          <w:spacing w:val="9"/>
          <w:sz w:val="31"/>
          <w:szCs w:val="31"/>
          <w:u w:val="single"/>
          <w:lang w:val="en-US" w:eastAsia="zh-CN"/>
        </w:rPr>
        <w:t>1,038.59</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66.47</w:t>
      </w:r>
      <w:r>
        <w:rPr>
          <w:rFonts w:hint="eastAsia" w:ascii="仿宋" w:hAnsi="仿宋" w:eastAsia="仿宋" w:cs="仿宋"/>
          <w:spacing w:val="9"/>
          <w:sz w:val="31"/>
          <w:szCs w:val="31"/>
          <w:lang w:val="en-US" w:eastAsia="zh-CN"/>
        </w:rPr>
        <w:t>%；</w:t>
      </w:r>
    </w:p>
    <w:p w14:paraId="7DB770E0">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本年项目支出</w:t>
      </w:r>
      <w:r>
        <w:rPr>
          <w:rFonts w:hint="eastAsia" w:ascii="仿宋" w:hAnsi="仿宋" w:eastAsia="仿宋" w:cs="仿宋"/>
          <w:spacing w:val="9"/>
          <w:sz w:val="31"/>
          <w:szCs w:val="31"/>
          <w:u w:val="single"/>
          <w:lang w:val="en-US" w:eastAsia="zh-CN"/>
        </w:rPr>
        <w:t>523.82</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33.53</w:t>
      </w:r>
      <w:r>
        <w:rPr>
          <w:rFonts w:hint="eastAsia" w:ascii="仿宋" w:hAnsi="仿宋" w:eastAsia="仿宋" w:cs="仿宋"/>
          <w:spacing w:val="9"/>
          <w:sz w:val="31"/>
          <w:szCs w:val="31"/>
          <w:lang w:val="en-US" w:eastAsia="zh-CN"/>
        </w:rPr>
        <w:t>%；</w:t>
      </w:r>
    </w:p>
    <w:p w14:paraId="336AE4F3">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本年上缴上级支出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6741729E">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本年经营支出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02571ED6">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本年对附属单位补助支出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09A886AD">
      <w:pPr>
        <w:widowControl/>
        <w:spacing w:before="240" w:after="240"/>
        <w:jc w:val="center"/>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图2.支出决算图</w:t>
      </w:r>
    </w:p>
    <w:p w14:paraId="7E584F7E">
      <w:pPr>
        <w:pStyle w:val="20"/>
      </w:pPr>
      <w:r>
        <w:rPr>
          <w:rFonts w:hint="eastAsia"/>
          <w:lang w:val="en-US" w:eastAsia="zh-CN"/>
        </w:rPr>
        <w:t xml:space="preserve">      </w:t>
      </w:r>
      <w:r>
        <w:drawing>
          <wp:inline distT="0" distB="0" distL="114300" distR="114300">
            <wp:extent cx="3970020" cy="2894965"/>
            <wp:effectExtent l="4445" t="4445" r="6985" b="53340"/>
            <wp:docPr id="1" name="图表 1" descr="7b0a202020202263686172745265734964223a202232303437353935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0A0CC4A">
      <w:pPr>
        <w:keepNext w:val="0"/>
        <w:keepLines w:val="0"/>
        <w:pageBreakBefore w:val="0"/>
        <w:widowControl/>
        <w:kinsoku/>
        <w:wordWrap/>
        <w:overflowPunct/>
        <w:topLinePunct w:val="0"/>
        <w:autoSpaceDE/>
        <w:autoSpaceDN/>
        <w:bidi w:val="0"/>
        <w:adjustRightInd/>
        <w:snapToGrid/>
        <w:spacing w:line="360" w:lineRule="auto"/>
        <w:ind w:left="0" w:right="0" w:firstLine="620" w:firstLineChars="200"/>
        <w:jc w:val="both"/>
        <w:textAlignment w:val="auto"/>
        <w:rPr>
          <w:rFonts w:ascii="黑体" w:hAnsi="黑体" w:eastAsia="黑体" w:cs="黑体"/>
          <w:b w:val="0"/>
          <w:bCs w:val="0"/>
          <w:kern w:val="0"/>
          <w:sz w:val="31"/>
          <w:szCs w:val="31"/>
        </w:rPr>
      </w:pPr>
      <w:r>
        <w:rPr>
          <w:rFonts w:ascii="黑体" w:hAnsi="黑体" w:eastAsia="黑体" w:cs="黑体"/>
          <w:b w:val="0"/>
          <w:bCs w:val="0"/>
          <w:kern w:val="0"/>
          <w:sz w:val="31"/>
          <w:szCs w:val="31"/>
        </w:rPr>
        <w:t>四、财政拨款收入支出决算总体情况说明</w:t>
      </w:r>
    </w:p>
    <w:p w14:paraId="00870F95">
      <w:pPr>
        <w:keepNext w:val="0"/>
        <w:keepLines w:val="0"/>
        <w:pageBreakBefore w:val="0"/>
        <w:widowControl/>
        <w:kinsoku/>
        <w:wordWrap/>
        <w:overflowPunct/>
        <w:topLinePunct w:val="0"/>
        <w:autoSpaceDE/>
        <w:autoSpaceDN/>
        <w:bidi w:val="0"/>
        <w:adjustRightInd/>
        <w:snapToGrid/>
        <w:spacing w:line="240" w:lineRule="auto"/>
        <w:ind w:left="0" w:right="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锡林郭勒盟能源局（部门）2023年度财政拨款收入、支出决算总计</w:t>
      </w:r>
      <w:r>
        <w:rPr>
          <w:rFonts w:hint="eastAsia" w:ascii="仿宋" w:hAnsi="仿宋" w:eastAsia="仿宋" w:cs="仿宋"/>
          <w:spacing w:val="9"/>
          <w:sz w:val="31"/>
          <w:szCs w:val="31"/>
          <w:u w:val="single"/>
          <w:lang w:val="en-US" w:eastAsia="zh-CN"/>
        </w:rPr>
        <w:t>1,573.79</w:t>
      </w:r>
      <w:r>
        <w:rPr>
          <w:rFonts w:hint="eastAsia" w:ascii="仿宋" w:hAnsi="仿宋" w:eastAsia="仿宋" w:cs="仿宋"/>
          <w:spacing w:val="9"/>
          <w:sz w:val="31"/>
          <w:szCs w:val="31"/>
          <w:lang w:val="en-US" w:eastAsia="zh-CN"/>
        </w:rPr>
        <w:t>万元，与年初预算相比，收、支总计各减少</w:t>
      </w:r>
      <w:r>
        <w:rPr>
          <w:rFonts w:hint="eastAsia" w:ascii="仿宋" w:hAnsi="仿宋" w:eastAsia="仿宋" w:cs="仿宋"/>
          <w:spacing w:val="9"/>
          <w:sz w:val="31"/>
          <w:szCs w:val="31"/>
          <w:u w:val="single"/>
          <w:lang w:val="en-US" w:eastAsia="zh-CN"/>
        </w:rPr>
        <w:t>907.19</w:t>
      </w:r>
      <w:r>
        <w:rPr>
          <w:rFonts w:hint="eastAsia" w:ascii="仿宋" w:hAnsi="仿宋" w:eastAsia="仿宋" w:cs="仿宋"/>
          <w:spacing w:val="9"/>
          <w:sz w:val="31"/>
          <w:szCs w:val="31"/>
          <w:lang w:val="en-US" w:eastAsia="zh-CN"/>
        </w:rPr>
        <w:t>万元，减少</w:t>
      </w:r>
      <w:r>
        <w:rPr>
          <w:rFonts w:hint="eastAsia" w:ascii="仿宋" w:hAnsi="仿宋" w:eastAsia="仿宋" w:cs="仿宋"/>
          <w:spacing w:val="9"/>
          <w:sz w:val="31"/>
          <w:szCs w:val="31"/>
          <w:u w:val="single"/>
          <w:lang w:val="en-US" w:eastAsia="zh-CN"/>
        </w:rPr>
        <w:t>36.57</w:t>
      </w:r>
      <w:r>
        <w:rPr>
          <w:rFonts w:hint="eastAsia" w:ascii="仿宋" w:hAnsi="仿宋" w:eastAsia="仿宋" w:cs="仿宋"/>
          <w:spacing w:val="9"/>
          <w:sz w:val="31"/>
          <w:szCs w:val="31"/>
          <w:lang w:val="en-US" w:eastAsia="zh-CN"/>
        </w:rPr>
        <w:t>%，变动原因：1.由于人员工资变动及社保、公积金变动，基本支出决算收入增加；2.项目支出经费收入较预算减少918.57万元，由于年初预算安排的部分项目经费产生结转结余导致决算预算收入减少；与上年决算相比，收、支总计各增加</w:t>
      </w:r>
      <w:r>
        <w:rPr>
          <w:rFonts w:hint="eastAsia" w:ascii="仿宋" w:hAnsi="仿宋" w:eastAsia="仿宋" w:cs="仿宋"/>
          <w:spacing w:val="9"/>
          <w:sz w:val="31"/>
          <w:szCs w:val="31"/>
          <w:u w:val="single"/>
          <w:lang w:val="en-US" w:eastAsia="zh-CN"/>
        </w:rPr>
        <w:t>254.00</w:t>
      </w:r>
      <w:r>
        <w:rPr>
          <w:rFonts w:hint="eastAsia" w:ascii="仿宋" w:hAnsi="仿宋" w:eastAsia="仿宋" w:cs="仿宋"/>
          <w:spacing w:val="9"/>
          <w:sz w:val="31"/>
          <w:szCs w:val="31"/>
          <w:lang w:val="en-US" w:eastAsia="zh-CN"/>
        </w:rPr>
        <w:t>万元，增长</w:t>
      </w:r>
      <w:r>
        <w:rPr>
          <w:rFonts w:hint="eastAsia" w:ascii="仿宋" w:hAnsi="仿宋" w:eastAsia="仿宋" w:cs="仿宋"/>
          <w:spacing w:val="9"/>
          <w:sz w:val="31"/>
          <w:szCs w:val="31"/>
          <w:u w:val="single"/>
          <w:lang w:val="en-US" w:eastAsia="zh-CN"/>
        </w:rPr>
        <w:t>19.25</w:t>
      </w:r>
      <w:r>
        <w:rPr>
          <w:rFonts w:hint="eastAsia" w:ascii="仿宋" w:hAnsi="仿宋" w:eastAsia="仿宋" w:cs="仿宋"/>
          <w:spacing w:val="9"/>
          <w:sz w:val="31"/>
          <w:szCs w:val="31"/>
          <w:lang w:val="en-US" w:eastAsia="zh-CN"/>
        </w:rPr>
        <w:t>%，变动原因：</w:t>
      </w:r>
      <w:r>
        <w:rPr>
          <w:rFonts w:hint="eastAsia" w:ascii="仿宋" w:hAnsi="仿宋" w:eastAsia="仿宋" w:cs="仿宋"/>
          <w:spacing w:val="9"/>
          <w:sz w:val="31"/>
          <w:szCs w:val="31"/>
          <w:lang w:eastAsia="zh-CN"/>
        </w:rPr>
        <w:t>本年在职人员工资、社保、住房公积金增加，使人员经费支出增加；本年支付招商引资工作经费</w:t>
      </w:r>
      <w:r>
        <w:rPr>
          <w:rFonts w:hint="eastAsia" w:ascii="仿宋" w:hAnsi="仿宋" w:eastAsia="仿宋" w:cs="仿宋"/>
          <w:spacing w:val="9"/>
          <w:sz w:val="31"/>
          <w:szCs w:val="31"/>
          <w:lang w:val="en-US" w:eastAsia="zh-CN"/>
        </w:rPr>
        <w:t>44.3万元，新能源调相机布局规划经费50.72万元；</w:t>
      </w:r>
      <w:r>
        <w:rPr>
          <w:rFonts w:hint="eastAsia" w:ascii="仿宋" w:hAnsi="仿宋" w:eastAsia="仿宋" w:cs="仿宋"/>
          <w:spacing w:val="9"/>
          <w:sz w:val="31"/>
          <w:szCs w:val="31"/>
          <w:lang w:eastAsia="zh-CN"/>
        </w:rPr>
        <w:t>东乌旗农乃庙煤炭矿区总体规划评审费</w:t>
      </w:r>
      <w:r>
        <w:rPr>
          <w:rFonts w:hint="eastAsia" w:ascii="仿宋" w:hAnsi="仿宋" w:eastAsia="仿宋" w:cs="仿宋"/>
          <w:spacing w:val="9"/>
          <w:sz w:val="31"/>
          <w:szCs w:val="31"/>
          <w:lang w:val="en-US" w:eastAsia="zh-CN"/>
        </w:rPr>
        <w:t>50万元，上年无以上项目经费</w:t>
      </w:r>
      <w:r>
        <w:rPr>
          <w:rFonts w:hint="eastAsia" w:ascii="仿宋" w:hAnsi="仿宋" w:eastAsia="仿宋" w:cs="仿宋"/>
          <w:spacing w:val="9"/>
          <w:sz w:val="31"/>
          <w:szCs w:val="31"/>
        </w:rPr>
        <w:t>。</w:t>
      </w:r>
    </w:p>
    <w:p w14:paraId="2ECDAF5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firstLine="620" w:firstLineChars="200"/>
        <w:jc w:val="both"/>
        <w:textAlignment w:val="auto"/>
        <w:rPr>
          <w:rFonts w:ascii="黑体" w:hAnsi="黑体" w:eastAsia="黑体" w:cs="黑体"/>
          <w:b w:val="0"/>
          <w:bCs w:val="0"/>
          <w:kern w:val="0"/>
          <w:sz w:val="31"/>
          <w:szCs w:val="31"/>
        </w:rPr>
      </w:pPr>
      <w:r>
        <w:rPr>
          <w:rFonts w:ascii="黑体" w:hAnsi="黑体" w:eastAsia="黑体" w:cs="黑体"/>
          <w:b w:val="0"/>
          <w:bCs w:val="0"/>
          <w:kern w:val="0"/>
          <w:sz w:val="31"/>
          <w:szCs w:val="31"/>
        </w:rPr>
        <w:t>一般公共预算财政拨款支出决算情况说明</w:t>
      </w:r>
    </w:p>
    <w:p w14:paraId="716524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56" w:firstLineChars="200"/>
        <w:jc w:val="both"/>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eastAsia="zh-CN"/>
        </w:rPr>
        <w:t>锡林郭勒盟能源局（部门）2023年度一般公共预算财政拨款支出决算</w:t>
      </w:r>
      <w:r>
        <w:rPr>
          <w:rFonts w:hint="eastAsia" w:ascii="仿宋" w:hAnsi="仿宋" w:eastAsia="仿宋" w:cs="仿宋"/>
          <w:spacing w:val="9"/>
          <w:sz w:val="31"/>
          <w:szCs w:val="31"/>
          <w:u w:val="single"/>
          <w:lang w:eastAsia="zh-CN"/>
        </w:rPr>
        <w:t>1,562.41</w:t>
      </w:r>
      <w:r>
        <w:rPr>
          <w:rFonts w:hint="eastAsia" w:ascii="仿宋" w:hAnsi="仿宋" w:eastAsia="仿宋" w:cs="仿宋"/>
          <w:spacing w:val="9"/>
          <w:sz w:val="31"/>
          <w:szCs w:val="31"/>
          <w:lang w:eastAsia="zh-CN"/>
        </w:rPr>
        <w:t>万元。与年初预算</w:t>
      </w:r>
      <w:r>
        <w:rPr>
          <w:rFonts w:hint="eastAsia" w:ascii="仿宋" w:hAnsi="仿宋" w:eastAsia="仿宋" w:cs="仿宋"/>
          <w:spacing w:val="9"/>
          <w:sz w:val="31"/>
          <w:szCs w:val="31"/>
          <w:u w:val="single"/>
          <w:lang w:eastAsia="zh-CN"/>
        </w:rPr>
        <w:t>2,480.98</w:t>
      </w:r>
      <w:r>
        <w:rPr>
          <w:rFonts w:hint="eastAsia" w:ascii="仿宋" w:hAnsi="仿宋" w:eastAsia="仿宋" w:cs="仿宋"/>
          <w:spacing w:val="9"/>
          <w:sz w:val="31"/>
          <w:szCs w:val="31"/>
          <w:lang w:eastAsia="zh-CN"/>
        </w:rPr>
        <w:t>万元相比，完成年初预算的</w:t>
      </w:r>
      <w:r>
        <w:rPr>
          <w:rFonts w:hint="eastAsia" w:ascii="仿宋" w:hAnsi="仿宋" w:eastAsia="仿宋" w:cs="仿宋"/>
          <w:spacing w:val="9"/>
          <w:sz w:val="31"/>
          <w:szCs w:val="31"/>
          <w:u w:val="single"/>
          <w:lang w:eastAsia="zh-CN"/>
        </w:rPr>
        <w:t>62.98</w:t>
      </w:r>
      <w:r>
        <w:rPr>
          <w:rFonts w:hint="eastAsia" w:ascii="仿宋" w:hAnsi="仿宋" w:eastAsia="仿宋" w:cs="仿宋"/>
          <w:spacing w:val="9"/>
          <w:sz w:val="31"/>
          <w:szCs w:val="31"/>
          <w:lang w:eastAsia="zh-CN"/>
        </w:rPr>
        <w:t>%。其中：</w:t>
      </w:r>
    </w:p>
    <w:p w14:paraId="006576AA">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（一）一般公共服务（类）</w:t>
      </w:r>
    </w:p>
    <w:p w14:paraId="244DCC4E">
      <w:pPr>
        <w:keepNext w:val="0"/>
        <w:keepLines w:val="0"/>
        <w:pageBreakBefore w:val="0"/>
        <w:widowControl/>
        <w:kinsoku/>
        <w:wordWrap/>
        <w:overflowPunct/>
        <w:topLinePunct w:val="0"/>
        <w:autoSpaceDE/>
        <w:autoSpaceDN/>
        <w:bidi w:val="0"/>
        <w:adjustRightInd/>
        <w:snapToGrid/>
        <w:spacing w:line="360" w:lineRule="auto"/>
        <w:ind w:left="0" w:leftChars="0" w:right="0" w:firstLine="540" w:firstLineChars="200"/>
        <w:jc w:val="both"/>
        <w:textAlignment w:val="auto"/>
        <w:rPr>
          <w:rFonts w:hint="eastAsia" w:ascii="仿宋" w:hAnsi="仿宋" w:eastAsia="仿宋" w:cs="仿宋"/>
          <w:spacing w:val="9"/>
          <w:sz w:val="31"/>
          <w:szCs w:val="31"/>
          <w:lang w:eastAsia="zh-CN"/>
        </w:rPr>
      </w:pPr>
      <w:r>
        <w:rPr>
          <w:rFonts w:ascii="fang_song_gb2312" w:hAnsi="fang_song_gb2312" w:eastAsia="fang_song_gb2312" w:cs="fang_song_gb2312"/>
          <w:kern w:val="0"/>
          <w:sz w:val="27"/>
          <w:szCs w:val="27"/>
        </w:rPr>
        <w:t> </w:t>
      </w:r>
      <w:r>
        <w:rPr>
          <w:rFonts w:hint="eastAsia" w:ascii="仿宋" w:hAnsi="仿宋" w:eastAsia="仿宋" w:cs="仿宋"/>
          <w:spacing w:val="9"/>
          <w:sz w:val="31"/>
          <w:szCs w:val="31"/>
          <w:lang w:eastAsia="zh-CN"/>
        </w:rPr>
        <w:t>一般公共服务类决算数为</w:t>
      </w:r>
      <w:r>
        <w:rPr>
          <w:rFonts w:hint="eastAsia" w:ascii="仿宋" w:hAnsi="仿宋" w:eastAsia="仿宋" w:cs="仿宋"/>
          <w:spacing w:val="9"/>
          <w:sz w:val="31"/>
          <w:szCs w:val="31"/>
          <w:u w:val="single"/>
          <w:lang w:eastAsia="zh-CN"/>
        </w:rPr>
        <w:t>44.39</w:t>
      </w:r>
      <w:r>
        <w:rPr>
          <w:rFonts w:hint="eastAsia" w:ascii="仿宋" w:hAnsi="仿宋" w:eastAsia="仿宋" w:cs="仿宋"/>
          <w:spacing w:val="9"/>
          <w:sz w:val="31"/>
          <w:szCs w:val="31"/>
          <w:lang w:eastAsia="zh-CN"/>
        </w:rPr>
        <w:t>万元，与年初预算相比增加</w:t>
      </w:r>
      <w:r>
        <w:rPr>
          <w:rFonts w:hint="eastAsia" w:ascii="仿宋" w:hAnsi="仿宋" w:eastAsia="仿宋" w:cs="仿宋"/>
          <w:spacing w:val="9"/>
          <w:sz w:val="31"/>
          <w:szCs w:val="31"/>
          <w:u w:val="single"/>
          <w:lang w:eastAsia="zh-CN"/>
        </w:rPr>
        <w:t>44.39</w:t>
      </w:r>
      <w:r>
        <w:rPr>
          <w:rFonts w:hint="eastAsia" w:ascii="仿宋" w:hAnsi="仿宋" w:eastAsia="仿宋" w:cs="仿宋"/>
          <w:spacing w:val="9"/>
          <w:sz w:val="31"/>
          <w:szCs w:val="31"/>
          <w:lang w:eastAsia="zh-CN"/>
        </w:rPr>
        <w:t>万元。其中：</w:t>
      </w:r>
    </w:p>
    <w:p w14:paraId="1E2EACE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eastAsia="zh-CN"/>
        </w:rPr>
        <w:t>发展与改革事务（款）一般行政管理事务（项）。年初预算</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eastAsia="zh-CN"/>
        </w:rPr>
        <w:t>万元，支出决算</w:t>
      </w:r>
      <w:r>
        <w:rPr>
          <w:rFonts w:hint="eastAsia" w:ascii="仿宋" w:hAnsi="仿宋" w:eastAsia="仿宋" w:cs="仿宋"/>
          <w:spacing w:val="9"/>
          <w:sz w:val="31"/>
          <w:szCs w:val="31"/>
          <w:u w:val="single"/>
          <w:lang w:val="en-US" w:eastAsia="zh-CN"/>
        </w:rPr>
        <w:t>44.39</w:t>
      </w:r>
      <w:r>
        <w:rPr>
          <w:rFonts w:hint="eastAsia" w:ascii="仿宋" w:hAnsi="仿宋" w:eastAsia="仿宋" w:cs="仿宋"/>
          <w:spacing w:val="9"/>
          <w:sz w:val="31"/>
          <w:szCs w:val="31"/>
          <w:lang w:eastAsia="zh-CN"/>
        </w:rPr>
        <w:t>万元，完成年初预算的</w:t>
      </w:r>
      <w:r>
        <w:rPr>
          <w:rFonts w:hint="eastAsia" w:ascii="仿宋" w:hAnsi="仿宋" w:eastAsia="仿宋" w:cs="仿宋"/>
          <w:spacing w:val="9"/>
          <w:sz w:val="31"/>
          <w:szCs w:val="31"/>
          <w:u w:val="single"/>
          <w:lang w:val="en-US" w:eastAsia="zh-CN"/>
        </w:rPr>
        <w:t>100</w:t>
      </w:r>
      <w:r>
        <w:rPr>
          <w:rFonts w:hint="eastAsia" w:ascii="仿宋" w:hAnsi="仿宋" w:eastAsia="仿宋" w:cs="仿宋"/>
          <w:spacing w:val="9"/>
          <w:sz w:val="31"/>
          <w:szCs w:val="31"/>
          <w:lang w:eastAsia="zh-CN"/>
        </w:rPr>
        <w:t>%。决算数与年初预算数的差异原因：</w:t>
      </w:r>
      <w:r>
        <w:rPr>
          <w:rFonts w:hint="eastAsia" w:ascii="仿宋" w:hAnsi="仿宋" w:eastAsia="仿宋" w:cs="仿宋"/>
          <w:spacing w:val="9"/>
          <w:sz w:val="31"/>
          <w:szCs w:val="31"/>
          <w:lang w:val="en-US" w:eastAsia="zh-CN"/>
        </w:rPr>
        <w:t>该项资金为2023年度招商引资工作专项经费，年初未列入本部门预算，年中由盟发展改革委分配资金至相关部门</w:t>
      </w:r>
      <w:r>
        <w:rPr>
          <w:rFonts w:hint="eastAsia" w:ascii="仿宋" w:hAnsi="仿宋" w:eastAsia="仿宋" w:cs="仿宋"/>
          <w:spacing w:val="9"/>
          <w:sz w:val="31"/>
          <w:szCs w:val="31"/>
          <w:lang w:eastAsia="zh-CN"/>
        </w:rPr>
        <w:t>。</w:t>
      </w:r>
    </w:p>
    <w:p w14:paraId="4F39B647">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w:t>
      </w:r>
      <w:r>
        <w:rPr>
          <w:rFonts w:hint="eastAsia" w:ascii="楷体" w:hAnsi="楷体" w:eastAsia="楷体" w:cs="楷体"/>
          <w:spacing w:val="5"/>
          <w:sz w:val="31"/>
          <w:szCs w:val="31"/>
          <w:lang w:val="en-US" w:eastAsia="zh-CN"/>
        </w:rPr>
        <w:t>二</w:t>
      </w:r>
      <w:r>
        <w:rPr>
          <w:rFonts w:ascii="楷体" w:hAnsi="楷体" w:eastAsia="楷体" w:cs="楷体"/>
          <w:spacing w:val="5"/>
          <w:sz w:val="31"/>
          <w:szCs w:val="31"/>
        </w:rPr>
        <w:t>）社会保障和就业支出（类）</w:t>
      </w:r>
    </w:p>
    <w:p w14:paraId="2E762993">
      <w:pPr>
        <w:keepNext w:val="0"/>
        <w:keepLines w:val="0"/>
        <w:pageBreakBefore w:val="0"/>
        <w:widowControl/>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eastAsia="zh-CN"/>
        </w:rPr>
        <w:t>社会保障和就业支出类决算数为</w:t>
      </w:r>
      <w:r>
        <w:rPr>
          <w:rFonts w:hint="eastAsia" w:ascii="仿宋" w:hAnsi="仿宋" w:eastAsia="仿宋" w:cs="仿宋"/>
          <w:spacing w:val="9"/>
          <w:sz w:val="31"/>
          <w:szCs w:val="31"/>
          <w:u w:val="single"/>
          <w:lang w:eastAsia="zh-CN"/>
        </w:rPr>
        <w:t>80.54</w:t>
      </w:r>
      <w:r>
        <w:rPr>
          <w:rFonts w:hint="eastAsia" w:ascii="仿宋" w:hAnsi="仿宋" w:eastAsia="仿宋" w:cs="仿宋"/>
          <w:spacing w:val="9"/>
          <w:sz w:val="31"/>
          <w:szCs w:val="31"/>
          <w:lang w:eastAsia="zh-CN"/>
        </w:rPr>
        <w:t>万元，与年初预算相比增加</w:t>
      </w:r>
      <w:r>
        <w:rPr>
          <w:rFonts w:hint="eastAsia" w:ascii="仿宋" w:hAnsi="仿宋" w:eastAsia="仿宋" w:cs="仿宋"/>
          <w:spacing w:val="9"/>
          <w:sz w:val="31"/>
          <w:szCs w:val="31"/>
          <w:u w:val="single"/>
          <w:lang w:eastAsia="zh-CN"/>
        </w:rPr>
        <w:t>0.34</w:t>
      </w:r>
      <w:r>
        <w:rPr>
          <w:rFonts w:hint="eastAsia" w:ascii="仿宋" w:hAnsi="仿宋" w:eastAsia="仿宋" w:cs="仿宋"/>
          <w:spacing w:val="9"/>
          <w:sz w:val="31"/>
          <w:szCs w:val="31"/>
          <w:lang w:eastAsia="zh-CN"/>
        </w:rPr>
        <w:t>万元。其中：</w:t>
      </w:r>
    </w:p>
    <w:p w14:paraId="74311DDC">
      <w:pPr>
        <w:keepNext w:val="0"/>
        <w:keepLines w:val="0"/>
        <w:pageBreakBefore w:val="0"/>
        <w:widowControl w:val="0"/>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eastAsia="zh-CN"/>
        </w:rPr>
        <w:t>1．行政事业单位养老支出（款）行政单位离退休（项）。年初预算</w:t>
      </w:r>
      <w:r>
        <w:rPr>
          <w:rFonts w:hint="eastAsia" w:ascii="仿宋" w:hAnsi="仿宋" w:eastAsia="仿宋" w:cs="仿宋"/>
          <w:spacing w:val="9"/>
          <w:sz w:val="31"/>
          <w:szCs w:val="31"/>
          <w:u w:val="single"/>
          <w:lang w:eastAsia="zh-CN"/>
        </w:rPr>
        <w:t>1.83</w:t>
      </w:r>
      <w:r>
        <w:rPr>
          <w:rFonts w:hint="eastAsia" w:ascii="仿宋" w:hAnsi="仿宋" w:eastAsia="仿宋" w:cs="仿宋"/>
          <w:spacing w:val="9"/>
          <w:sz w:val="31"/>
          <w:szCs w:val="31"/>
          <w:lang w:eastAsia="zh-CN"/>
        </w:rPr>
        <w:t>万元，支出决算</w:t>
      </w:r>
      <w:r>
        <w:rPr>
          <w:rFonts w:hint="eastAsia" w:ascii="仿宋" w:hAnsi="仿宋" w:eastAsia="仿宋" w:cs="仿宋"/>
          <w:spacing w:val="9"/>
          <w:sz w:val="31"/>
          <w:szCs w:val="31"/>
          <w:u w:val="single"/>
          <w:lang w:val="en-US" w:eastAsia="zh-CN"/>
        </w:rPr>
        <w:t>1.83</w:t>
      </w:r>
      <w:r>
        <w:rPr>
          <w:rFonts w:hint="eastAsia" w:ascii="仿宋" w:hAnsi="仿宋" w:eastAsia="仿宋" w:cs="仿宋"/>
          <w:spacing w:val="9"/>
          <w:sz w:val="31"/>
          <w:szCs w:val="31"/>
          <w:lang w:eastAsia="zh-CN"/>
        </w:rPr>
        <w:t>万元，完成年初预算的</w:t>
      </w:r>
      <w:r>
        <w:rPr>
          <w:rFonts w:hint="eastAsia" w:ascii="仿宋" w:hAnsi="仿宋" w:eastAsia="仿宋" w:cs="仿宋"/>
          <w:spacing w:val="9"/>
          <w:sz w:val="31"/>
          <w:szCs w:val="31"/>
          <w:u w:val="single"/>
          <w:lang w:val="en-US" w:eastAsia="zh-CN"/>
        </w:rPr>
        <w:t>100</w:t>
      </w:r>
      <w:r>
        <w:rPr>
          <w:rFonts w:hint="eastAsia" w:ascii="仿宋" w:hAnsi="仿宋" w:eastAsia="仿宋" w:cs="仿宋"/>
          <w:spacing w:val="9"/>
          <w:sz w:val="31"/>
          <w:szCs w:val="31"/>
          <w:lang w:eastAsia="zh-CN"/>
        </w:rPr>
        <w:t>%。决算数与年初预算数</w:t>
      </w:r>
      <w:r>
        <w:rPr>
          <w:rFonts w:hint="eastAsia" w:ascii="仿宋" w:hAnsi="仿宋" w:eastAsia="仿宋" w:cs="仿宋"/>
          <w:spacing w:val="9"/>
          <w:sz w:val="31"/>
          <w:szCs w:val="31"/>
          <w:lang w:val="en-US" w:eastAsia="zh-CN"/>
        </w:rPr>
        <w:t>无差异</w:t>
      </w:r>
      <w:r>
        <w:rPr>
          <w:rFonts w:hint="eastAsia" w:ascii="仿宋" w:hAnsi="仿宋" w:eastAsia="仿宋" w:cs="仿宋"/>
          <w:spacing w:val="9"/>
          <w:sz w:val="31"/>
          <w:szCs w:val="31"/>
          <w:lang w:eastAsia="zh-CN"/>
        </w:rPr>
        <w:t>。</w:t>
      </w:r>
    </w:p>
    <w:p w14:paraId="1748B4AC">
      <w:pPr>
        <w:keepNext w:val="0"/>
        <w:keepLines w:val="0"/>
        <w:pageBreakBefore w:val="0"/>
        <w:widowControl w:val="0"/>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eastAsia="zh-CN"/>
        </w:rPr>
        <w:t>2．行政事业单位养老支出（款）事业单位离退休（项）。年初预算</w:t>
      </w:r>
      <w:r>
        <w:rPr>
          <w:rFonts w:hint="eastAsia" w:ascii="仿宋" w:hAnsi="仿宋" w:eastAsia="仿宋" w:cs="仿宋"/>
          <w:spacing w:val="9"/>
          <w:sz w:val="31"/>
          <w:szCs w:val="31"/>
          <w:u w:val="single"/>
          <w:lang w:val="en-US" w:eastAsia="zh-CN"/>
        </w:rPr>
        <w:t>0.78</w:t>
      </w:r>
      <w:r>
        <w:rPr>
          <w:rFonts w:hint="eastAsia" w:ascii="仿宋" w:hAnsi="仿宋" w:eastAsia="仿宋" w:cs="仿宋"/>
          <w:spacing w:val="9"/>
          <w:sz w:val="31"/>
          <w:szCs w:val="31"/>
          <w:lang w:eastAsia="zh-CN"/>
        </w:rPr>
        <w:t>万元，支出决算</w:t>
      </w:r>
      <w:r>
        <w:rPr>
          <w:rFonts w:hint="eastAsia" w:ascii="仿宋" w:hAnsi="仿宋" w:eastAsia="仿宋" w:cs="仿宋"/>
          <w:spacing w:val="9"/>
          <w:sz w:val="31"/>
          <w:szCs w:val="31"/>
          <w:u w:val="single"/>
          <w:lang w:eastAsia="zh-CN"/>
        </w:rPr>
        <w:t>0.78</w:t>
      </w:r>
      <w:r>
        <w:rPr>
          <w:rFonts w:hint="eastAsia" w:ascii="仿宋" w:hAnsi="仿宋" w:eastAsia="仿宋" w:cs="仿宋"/>
          <w:spacing w:val="9"/>
          <w:sz w:val="31"/>
          <w:szCs w:val="31"/>
          <w:lang w:eastAsia="zh-CN"/>
        </w:rPr>
        <w:t>万元，完成年初预算的</w:t>
      </w:r>
      <w:r>
        <w:rPr>
          <w:rFonts w:hint="eastAsia" w:ascii="仿宋" w:hAnsi="仿宋" w:eastAsia="仿宋" w:cs="仿宋"/>
          <w:spacing w:val="9"/>
          <w:sz w:val="31"/>
          <w:szCs w:val="31"/>
          <w:u w:val="single"/>
          <w:lang w:val="en-US" w:eastAsia="zh-CN"/>
        </w:rPr>
        <w:t>100</w:t>
      </w:r>
      <w:r>
        <w:rPr>
          <w:rFonts w:hint="eastAsia" w:ascii="仿宋" w:hAnsi="仿宋" w:eastAsia="仿宋" w:cs="仿宋"/>
          <w:spacing w:val="9"/>
          <w:sz w:val="31"/>
          <w:szCs w:val="31"/>
          <w:lang w:eastAsia="zh-CN"/>
        </w:rPr>
        <w:t>%。决算数与年初预算数</w:t>
      </w:r>
      <w:r>
        <w:rPr>
          <w:rFonts w:hint="eastAsia" w:ascii="仿宋" w:hAnsi="仿宋" w:eastAsia="仿宋" w:cs="仿宋"/>
          <w:spacing w:val="9"/>
          <w:sz w:val="31"/>
          <w:szCs w:val="31"/>
          <w:lang w:val="en-US" w:eastAsia="zh-CN"/>
        </w:rPr>
        <w:t>无差异</w:t>
      </w:r>
      <w:r>
        <w:rPr>
          <w:rFonts w:hint="eastAsia" w:ascii="仿宋" w:hAnsi="仿宋" w:eastAsia="仿宋" w:cs="仿宋"/>
          <w:spacing w:val="9"/>
          <w:sz w:val="31"/>
          <w:szCs w:val="31"/>
          <w:lang w:eastAsia="zh-CN"/>
        </w:rPr>
        <w:t>。</w:t>
      </w:r>
    </w:p>
    <w:p w14:paraId="3133BA5D">
      <w:pPr>
        <w:keepNext w:val="0"/>
        <w:keepLines w:val="0"/>
        <w:pageBreakBefore w:val="0"/>
        <w:widowControl w:val="0"/>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eastAsia="zh-CN"/>
        </w:rPr>
        <w:t>3．行政事业单位养老支出（款）机关事业单位基本养老保险缴费支出（项）。年初预算</w:t>
      </w:r>
      <w:r>
        <w:rPr>
          <w:rFonts w:hint="eastAsia" w:ascii="仿宋" w:hAnsi="仿宋" w:eastAsia="仿宋" w:cs="仿宋"/>
          <w:spacing w:val="9"/>
          <w:sz w:val="31"/>
          <w:szCs w:val="31"/>
          <w:u w:val="single"/>
          <w:lang w:eastAsia="zh-CN"/>
        </w:rPr>
        <w:t>77.58</w:t>
      </w:r>
      <w:r>
        <w:rPr>
          <w:rFonts w:hint="eastAsia" w:ascii="仿宋" w:hAnsi="仿宋" w:eastAsia="仿宋" w:cs="仿宋"/>
          <w:spacing w:val="9"/>
          <w:sz w:val="31"/>
          <w:szCs w:val="31"/>
          <w:lang w:eastAsia="zh-CN"/>
        </w:rPr>
        <w:t>万元，支出决算</w:t>
      </w:r>
      <w:r>
        <w:rPr>
          <w:rFonts w:hint="eastAsia" w:ascii="仿宋" w:hAnsi="仿宋" w:eastAsia="仿宋" w:cs="仿宋"/>
          <w:spacing w:val="9"/>
          <w:sz w:val="31"/>
          <w:szCs w:val="31"/>
          <w:u w:val="single"/>
          <w:lang w:eastAsia="zh-CN"/>
        </w:rPr>
        <w:t>72.18</w:t>
      </w:r>
      <w:r>
        <w:rPr>
          <w:rFonts w:hint="eastAsia" w:ascii="仿宋" w:hAnsi="仿宋" w:eastAsia="仿宋" w:cs="仿宋"/>
          <w:spacing w:val="9"/>
          <w:sz w:val="31"/>
          <w:szCs w:val="31"/>
          <w:lang w:eastAsia="zh-CN"/>
        </w:rPr>
        <w:t>万元，完成年初预算的</w:t>
      </w:r>
      <w:r>
        <w:rPr>
          <w:rFonts w:hint="eastAsia" w:ascii="仿宋" w:hAnsi="仿宋" w:eastAsia="仿宋" w:cs="仿宋"/>
          <w:spacing w:val="9"/>
          <w:sz w:val="31"/>
          <w:szCs w:val="31"/>
          <w:u w:val="single"/>
          <w:lang w:val="en-US" w:eastAsia="zh-CN"/>
        </w:rPr>
        <w:t>93</w:t>
      </w:r>
      <w:r>
        <w:rPr>
          <w:rFonts w:hint="eastAsia" w:ascii="仿宋" w:hAnsi="仿宋" w:eastAsia="仿宋" w:cs="仿宋"/>
          <w:spacing w:val="9"/>
          <w:sz w:val="31"/>
          <w:szCs w:val="31"/>
          <w:lang w:eastAsia="zh-CN"/>
        </w:rPr>
        <w:t>%。决算数与年初预算数的差异原因：</w:t>
      </w:r>
      <w:r>
        <w:rPr>
          <w:rFonts w:hint="eastAsia" w:ascii="仿宋" w:hAnsi="仿宋" w:eastAsia="仿宋" w:cs="仿宋"/>
          <w:spacing w:val="9"/>
          <w:sz w:val="31"/>
          <w:szCs w:val="31"/>
          <w:lang w:val="en-US" w:eastAsia="zh-CN"/>
        </w:rPr>
        <w:t>年中有1人调出、1人被开除，养老保险实际缴费较年初预算减少</w:t>
      </w:r>
      <w:r>
        <w:rPr>
          <w:rFonts w:hint="eastAsia" w:ascii="仿宋" w:hAnsi="仿宋" w:eastAsia="仿宋" w:cs="仿宋"/>
          <w:spacing w:val="9"/>
          <w:sz w:val="31"/>
          <w:szCs w:val="31"/>
          <w:lang w:eastAsia="zh-CN"/>
        </w:rPr>
        <w:t>。</w:t>
      </w:r>
    </w:p>
    <w:p w14:paraId="2AB2DF98">
      <w:pPr>
        <w:keepNext w:val="0"/>
        <w:keepLines w:val="0"/>
        <w:pageBreakBefore w:val="0"/>
        <w:widowControl/>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eastAsia="zh-CN"/>
        </w:rPr>
        <w:t>4．行政事业单位养老支出（款）机关事业单位职业年金缴费支出（项）。年初预算</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eastAsia="zh-CN"/>
        </w:rPr>
        <w:t>万元，支出决算</w:t>
      </w:r>
      <w:r>
        <w:rPr>
          <w:rFonts w:hint="eastAsia" w:ascii="仿宋" w:hAnsi="仿宋" w:eastAsia="仿宋" w:cs="仿宋"/>
          <w:spacing w:val="9"/>
          <w:sz w:val="31"/>
          <w:szCs w:val="31"/>
          <w:u w:val="single"/>
          <w:lang w:eastAsia="zh-CN"/>
        </w:rPr>
        <w:t>5.75</w:t>
      </w:r>
      <w:r>
        <w:rPr>
          <w:rFonts w:hint="eastAsia" w:ascii="仿宋" w:hAnsi="仿宋" w:eastAsia="仿宋" w:cs="仿宋"/>
          <w:spacing w:val="9"/>
          <w:sz w:val="31"/>
          <w:szCs w:val="31"/>
          <w:lang w:eastAsia="zh-CN"/>
        </w:rPr>
        <w:t>万元，完成年初预算的</w:t>
      </w:r>
      <w:r>
        <w:rPr>
          <w:rFonts w:hint="eastAsia" w:ascii="仿宋" w:hAnsi="仿宋" w:eastAsia="仿宋" w:cs="仿宋"/>
          <w:spacing w:val="9"/>
          <w:sz w:val="31"/>
          <w:szCs w:val="31"/>
          <w:u w:val="single"/>
          <w:lang w:val="en-US" w:eastAsia="zh-CN"/>
        </w:rPr>
        <w:t>100</w:t>
      </w:r>
      <w:r>
        <w:rPr>
          <w:rFonts w:hint="eastAsia" w:ascii="仿宋" w:hAnsi="仿宋" w:eastAsia="仿宋" w:cs="仿宋"/>
          <w:spacing w:val="9"/>
          <w:sz w:val="31"/>
          <w:szCs w:val="31"/>
          <w:lang w:eastAsia="zh-CN"/>
        </w:rPr>
        <w:t>%。决算数与年初预算数的差异原因：</w:t>
      </w:r>
      <w:r>
        <w:rPr>
          <w:rFonts w:hint="eastAsia" w:ascii="仿宋" w:hAnsi="仿宋" w:eastAsia="仿宋" w:cs="仿宋"/>
          <w:spacing w:val="9"/>
          <w:sz w:val="31"/>
          <w:szCs w:val="31"/>
          <w:lang w:val="en-US" w:eastAsia="zh-CN"/>
        </w:rPr>
        <w:t>1名死亡人员和2名调出人员职业年金做实</w:t>
      </w:r>
      <w:r>
        <w:rPr>
          <w:rFonts w:hint="eastAsia" w:ascii="仿宋" w:hAnsi="仿宋" w:eastAsia="仿宋" w:cs="仿宋"/>
          <w:spacing w:val="9"/>
          <w:sz w:val="31"/>
          <w:szCs w:val="31"/>
          <w:lang w:eastAsia="zh-CN"/>
        </w:rPr>
        <w:t>。</w:t>
      </w:r>
    </w:p>
    <w:p w14:paraId="44475025">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w:t>
      </w:r>
      <w:r>
        <w:rPr>
          <w:rFonts w:hint="eastAsia" w:ascii="楷体" w:hAnsi="楷体" w:eastAsia="楷体" w:cs="楷体"/>
          <w:spacing w:val="5"/>
          <w:sz w:val="31"/>
          <w:szCs w:val="31"/>
          <w:lang w:val="en-US" w:eastAsia="zh-CN"/>
        </w:rPr>
        <w:t>三</w:t>
      </w:r>
      <w:r>
        <w:rPr>
          <w:rFonts w:ascii="楷体" w:hAnsi="楷体" w:eastAsia="楷体" w:cs="楷体"/>
          <w:spacing w:val="5"/>
          <w:sz w:val="31"/>
          <w:szCs w:val="31"/>
        </w:rPr>
        <w:t>）卫生健康支出（类）</w:t>
      </w:r>
    </w:p>
    <w:p w14:paraId="4C3E9F1A">
      <w:pPr>
        <w:keepNext w:val="0"/>
        <w:keepLines w:val="0"/>
        <w:pageBreakBefore w:val="0"/>
        <w:widowControl/>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eastAsia="zh-CN"/>
        </w:rPr>
        <w:t>卫生健康支出类决算数为</w:t>
      </w:r>
      <w:r>
        <w:rPr>
          <w:rFonts w:hint="eastAsia" w:ascii="仿宋" w:hAnsi="仿宋" w:eastAsia="仿宋" w:cs="仿宋"/>
          <w:spacing w:val="9"/>
          <w:sz w:val="31"/>
          <w:szCs w:val="31"/>
          <w:u w:val="single"/>
          <w:lang w:eastAsia="zh-CN"/>
        </w:rPr>
        <w:t>38.46</w:t>
      </w:r>
      <w:r>
        <w:rPr>
          <w:rFonts w:hint="eastAsia" w:ascii="仿宋" w:hAnsi="仿宋" w:eastAsia="仿宋" w:cs="仿宋"/>
          <w:spacing w:val="9"/>
          <w:sz w:val="31"/>
          <w:szCs w:val="31"/>
          <w:lang w:eastAsia="zh-CN"/>
        </w:rPr>
        <w:t>万元，与年初预算相比减少</w:t>
      </w:r>
      <w:r>
        <w:rPr>
          <w:rFonts w:hint="eastAsia" w:ascii="仿宋" w:hAnsi="仿宋" w:eastAsia="仿宋" w:cs="仿宋"/>
          <w:spacing w:val="9"/>
          <w:sz w:val="31"/>
          <w:szCs w:val="31"/>
          <w:u w:val="single"/>
          <w:lang w:eastAsia="zh-CN"/>
        </w:rPr>
        <w:t>5.05</w:t>
      </w:r>
      <w:r>
        <w:rPr>
          <w:rFonts w:hint="eastAsia" w:ascii="仿宋" w:hAnsi="仿宋" w:eastAsia="仿宋" w:cs="仿宋"/>
          <w:spacing w:val="9"/>
          <w:sz w:val="31"/>
          <w:szCs w:val="31"/>
          <w:lang w:eastAsia="zh-CN"/>
        </w:rPr>
        <w:t>万元。其中：</w:t>
      </w:r>
    </w:p>
    <w:p w14:paraId="26FD4DB8">
      <w:pPr>
        <w:keepNext w:val="0"/>
        <w:keepLines w:val="0"/>
        <w:pageBreakBefore w:val="0"/>
        <w:widowControl/>
        <w:kinsoku/>
        <w:wordWrap/>
        <w:overflowPunct/>
        <w:topLinePunct w:val="0"/>
        <w:autoSpaceDE/>
        <w:autoSpaceDN/>
        <w:bidi w:val="0"/>
        <w:adjustRightInd/>
        <w:snapToGrid/>
        <w:spacing w:line="360" w:lineRule="auto"/>
        <w:ind w:left="0" w:leftChars="0" w:right="0" w:firstLine="656" w:firstLineChars="200"/>
        <w:jc w:val="both"/>
        <w:textAlignment w:val="auto"/>
        <w:rPr>
          <w:rFonts w:hint="default"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1.公共卫生</w:t>
      </w:r>
      <w:r>
        <w:rPr>
          <w:rFonts w:hint="eastAsia" w:ascii="仿宋" w:hAnsi="仿宋" w:eastAsia="仿宋" w:cs="仿宋"/>
          <w:spacing w:val="9"/>
          <w:sz w:val="31"/>
          <w:szCs w:val="31"/>
          <w:lang w:eastAsia="zh-CN"/>
        </w:rPr>
        <w:t>（款）突发公共卫生事件应急处理（项）。年初预算</w:t>
      </w:r>
      <w:r>
        <w:rPr>
          <w:rFonts w:hint="eastAsia" w:ascii="仿宋" w:hAnsi="仿宋" w:eastAsia="仿宋" w:cs="仿宋"/>
          <w:spacing w:val="9"/>
          <w:sz w:val="31"/>
          <w:szCs w:val="31"/>
          <w:u w:val="single"/>
          <w:lang w:val="en-US" w:eastAsia="zh-CN"/>
        </w:rPr>
        <w:t>7.65</w:t>
      </w:r>
      <w:r>
        <w:rPr>
          <w:rFonts w:hint="eastAsia" w:ascii="仿宋" w:hAnsi="仿宋" w:eastAsia="仿宋" w:cs="仿宋"/>
          <w:spacing w:val="9"/>
          <w:sz w:val="31"/>
          <w:szCs w:val="31"/>
          <w:lang w:eastAsia="zh-CN"/>
        </w:rPr>
        <w:t>万元，支出决算</w:t>
      </w:r>
      <w:r>
        <w:rPr>
          <w:rFonts w:hint="eastAsia" w:ascii="仿宋" w:hAnsi="仿宋" w:eastAsia="仿宋" w:cs="仿宋"/>
          <w:spacing w:val="9"/>
          <w:sz w:val="31"/>
          <w:szCs w:val="31"/>
          <w:u w:val="single"/>
          <w:lang w:eastAsia="zh-CN"/>
        </w:rPr>
        <w:t>4.03</w:t>
      </w:r>
      <w:r>
        <w:rPr>
          <w:rFonts w:hint="eastAsia" w:ascii="仿宋" w:hAnsi="仿宋" w:eastAsia="仿宋" w:cs="仿宋"/>
          <w:spacing w:val="9"/>
          <w:sz w:val="31"/>
          <w:szCs w:val="31"/>
          <w:lang w:eastAsia="zh-CN"/>
        </w:rPr>
        <w:t>万元，完成年初预算的</w:t>
      </w:r>
      <w:r>
        <w:rPr>
          <w:rFonts w:hint="eastAsia" w:ascii="仿宋" w:hAnsi="仿宋" w:eastAsia="仿宋" w:cs="仿宋"/>
          <w:spacing w:val="9"/>
          <w:sz w:val="31"/>
          <w:szCs w:val="31"/>
          <w:u w:val="single"/>
          <w:lang w:val="en-US" w:eastAsia="zh-CN"/>
        </w:rPr>
        <w:t>52.7</w:t>
      </w:r>
      <w:r>
        <w:rPr>
          <w:rFonts w:hint="eastAsia" w:ascii="仿宋" w:hAnsi="仿宋" w:eastAsia="仿宋" w:cs="仿宋"/>
          <w:spacing w:val="9"/>
          <w:sz w:val="31"/>
          <w:szCs w:val="31"/>
          <w:lang w:eastAsia="zh-CN"/>
        </w:rPr>
        <w:t>%。决算数与年初预算数的差异原因：</w:t>
      </w:r>
      <w:r>
        <w:rPr>
          <w:rFonts w:hint="eastAsia" w:ascii="仿宋" w:hAnsi="仿宋" w:eastAsia="仿宋" w:cs="仿宋"/>
          <w:spacing w:val="9"/>
          <w:sz w:val="31"/>
          <w:szCs w:val="31"/>
          <w:lang w:val="en-US" w:eastAsia="zh-CN"/>
        </w:rPr>
        <w:t>由于2022年疫情工作结束，锡林郭勒盟能源局该项目未产生相关费用支出；锡林郭勒盟能源局综合保障中心上年结转包联小区</w:t>
      </w:r>
      <w:r>
        <w:rPr>
          <w:rFonts w:ascii="仿宋" w:hAnsi="仿宋" w:eastAsia="仿宋" w:cs="仿宋"/>
          <w:spacing w:val="5"/>
          <w:sz w:val="31"/>
          <w:szCs w:val="31"/>
        </w:rPr>
        <w:t>疫情防控</w:t>
      </w:r>
      <w:r>
        <w:rPr>
          <w:rFonts w:hint="eastAsia" w:ascii="仿宋" w:hAnsi="仿宋" w:eastAsia="仿宋" w:cs="仿宋"/>
          <w:spacing w:val="5"/>
          <w:sz w:val="31"/>
          <w:szCs w:val="31"/>
          <w:lang w:val="en-US" w:eastAsia="zh-CN"/>
        </w:rPr>
        <w:t>经费支出4.03万元</w:t>
      </w:r>
      <w:r>
        <w:rPr>
          <w:rFonts w:hint="eastAsia" w:ascii="仿宋" w:hAnsi="仿宋" w:eastAsia="仿宋" w:cs="仿宋"/>
          <w:spacing w:val="9"/>
          <w:sz w:val="31"/>
          <w:szCs w:val="31"/>
          <w:lang w:eastAsia="zh-CN"/>
        </w:rPr>
        <w:t>。</w:t>
      </w:r>
    </w:p>
    <w:p w14:paraId="6B90C202">
      <w:pPr>
        <w:keepNext w:val="0"/>
        <w:keepLines w:val="0"/>
        <w:pageBreakBefore w:val="0"/>
        <w:widowControl/>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val="en-US" w:eastAsia="zh-CN"/>
        </w:rPr>
        <w:t>2</w:t>
      </w:r>
      <w:r>
        <w:rPr>
          <w:rFonts w:hint="eastAsia" w:ascii="仿宋" w:hAnsi="仿宋" w:eastAsia="仿宋" w:cs="仿宋"/>
          <w:spacing w:val="9"/>
          <w:sz w:val="31"/>
          <w:szCs w:val="31"/>
          <w:lang w:eastAsia="zh-CN"/>
        </w:rPr>
        <w:t>．行政事业单位医疗（款）行政单位医疗（项）。年初预算</w:t>
      </w:r>
      <w:r>
        <w:rPr>
          <w:rFonts w:hint="eastAsia" w:ascii="仿宋" w:hAnsi="仿宋" w:eastAsia="仿宋" w:cs="仿宋"/>
          <w:spacing w:val="9"/>
          <w:sz w:val="31"/>
          <w:szCs w:val="31"/>
          <w:u w:val="single"/>
          <w:lang w:eastAsia="zh-CN"/>
        </w:rPr>
        <w:t xml:space="preserve">10.58 </w:t>
      </w:r>
      <w:r>
        <w:rPr>
          <w:rFonts w:hint="eastAsia" w:ascii="仿宋" w:hAnsi="仿宋" w:eastAsia="仿宋" w:cs="仿宋"/>
          <w:spacing w:val="9"/>
          <w:sz w:val="31"/>
          <w:szCs w:val="31"/>
          <w:lang w:eastAsia="zh-CN"/>
        </w:rPr>
        <w:t>万元，支出决算</w:t>
      </w:r>
      <w:r>
        <w:rPr>
          <w:rFonts w:hint="eastAsia" w:ascii="仿宋" w:hAnsi="仿宋" w:eastAsia="仿宋" w:cs="仿宋"/>
          <w:spacing w:val="9"/>
          <w:sz w:val="31"/>
          <w:szCs w:val="31"/>
          <w:u w:val="single"/>
          <w:lang w:eastAsia="zh-CN"/>
        </w:rPr>
        <w:t>8.89</w:t>
      </w:r>
      <w:r>
        <w:rPr>
          <w:rFonts w:hint="eastAsia" w:ascii="仿宋" w:hAnsi="仿宋" w:eastAsia="仿宋" w:cs="仿宋"/>
          <w:spacing w:val="9"/>
          <w:sz w:val="31"/>
          <w:szCs w:val="31"/>
          <w:lang w:eastAsia="zh-CN"/>
        </w:rPr>
        <w:t>万元，完成年初预算的</w:t>
      </w:r>
      <w:r>
        <w:rPr>
          <w:rFonts w:hint="eastAsia" w:ascii="仿宋" w:hAnsi="仿宋" w:eastAsia="仿宋" w:cs="仿宋"/>
          <w:i w:val="0"/>
          <w:iCs w:val="0"/>
          <w:spacing w:val="9"/>
          <w:sz w:val="31"/>
          <w:szCs w:val="31"/>
          <w:u w:val="single"/>
          <w:lang w:val="en-US" w:eastAsia="zh-CN"/>
        </w:rPr>
        <w:t>84</w:t>
      </w:r>
      <w:r>
        <w:rPr>
          <w:rFonts w:hint="eastAsia" w:ascii="仿宋" w:hAnsi="仿宋" w:eastAsia="仿宋" w:cs="仿宋"/>
          <w:spacing w:val="9"/>
          <w:sz w:val="31"/>
          <w:szCs w:val="31"/>
          <w:lang w:eastAsia="zh-CN"/>
        </w:rPr>
        <w:t>%。决算数与年初预算数的差异原因：</w:t>
      </w:r>
      <w:r>
        <w:rPr>
          <w:rFonts w:hint="eastAsia" w:ascii="仿宋" w:hAnsi="仿宋" w:eastAsia="仿宋" w:cs="仿宋"/>
          <w:spacing w:val="9"/>
          <w:sz w:val="31"/>
          <w:szCs w:val="31"/>
          <w:lang w:val="en-US" w:eastAsia="zh-CN"/>
        </w:rPr>
        <w:t>年中有1人调出、1人被开除，医疗保险实际缴费较年初预算减少</w:t>
      </w:r>
      <w:r>
        <w:rPr>
          <w:rFonts w:hint="eastAsia" w:ascii="仿宋" w:hAnsi="仿宋" w:eastAsia="仿宋" w:cs="仿宋"/>
          <w:spacing w:val="9"/>
          <w:sz w:val="31"/>
          <w:szCs w:val="31"/>
          <w:lang w:eastAsia="zh-CN"/>
        </w:rPr>
        <w:t>。</w:t>
      </w:r>
    </w:p>
    <w:p w14:paraId="1D1B64A6">
      <w:pPr>
        <w:keepNext w:val="0"/>
        <w:keepLines w:val="0"/>
        <w:pageBreakBefore w:val="0"/>
        <w:kinsoku/>
        <w:wordWrap/>
        <w:overflowPunct/>
        <w:topLinePunct w:val="0"/>
        <w:autoSpaceDE/>
        <w:autoSpaceDN/>
        <w:bidi w:val="0"/>
        <w:adjustRightInd/>
        <w:snapToGrid/>
        <w:spacing w:line="360" w:lineRule="auto"/>
        <w:ind w:left="0" w:leftChars="0" w:right="0" w:firstLine="656" w:firstLineChars="200"/>
        <w:jc w:val="both"/>
        <w:textAlignment w:val="auto"/>
        <w:rPr>
          <w:rFonts w:ascii="仿宋" w:hAnsi="仿宋" w:eastAsia="仿宋" w:cs="仿宋"/>
          <w:sz w:val="31"/>
          <w:szCs w:val="31"/>
        </w:rPr>
      </w:pPr>
      <w:r>
        <w:rPr>
          <w:rFonts w:hint="eastAsia" w:ascii="仿宋" w:hAnsi="仿宋" w:eastAsia="仿宋" w:cs="仿宋"/>
          <w:spacing w:val="9"/>
          <w:sz w:val="31"/>
          <w:szCs w:val="31"/>
          <w:lang w:val="en-US" w:eastAsia="zh-CN"/>
        </w:rPr>
        <w:t>3</w:t>
      </w:r>
      <w:r>
        <w:rPr>
          <w:rFonts w:hint="eastAsia" w:ascii="仿宋" w:hAnsi="仿宋" w:eastAsia="仿宋" w:cs="仿宋"/>
          <w:spacing w:val="9"/>
          <w:sz w:val="31"/>
          <w:szCs w:val="31"/>
          <w:lang w:eastAsia="zh-CN"/>
        </w:rPr>
        <w:t>．行政事业单位医疗（款）事业单位医疗（项）。年初预算</w:t>
      </w:r>
      <w:r>
        <w:rPr>
          <w:rFonts w:ascii="Times New Roman" w:hAnsi="Times New Roman" w:eastAsia="Times New Roman" w:cs="Times New Roman"/>
          <w:spacing w:val="-3"/>
          <w:sz w:val="31"/>
          <w:szCs w:val="31"/>
          <w:u w:val="single" w:color="auto"/>
        </w:rPr>
        <w:t xml:space="preserve"> </w:t>
      </w:r>
      <w:r>
        <w:rPr>
          <w:rFonts w:hint="eastAsia" w:ascii="仿宋" w:hAnsi="仿宋" w:eastAsia="仿宋" w:cs="仿宋"/>
          <w:spacing w:val="9"/>
          <w:sz w:val="31"/>
          <w:szCs w:val="31"/>
          <w:u w:val="single"/>
          <w:lang w:eastAsia="zh-CN"/>
        </w:rPr>
        <w:t>20.51</w:t>
      </w:r>
      <w:r>
        <w:rPr>
          <w:rFonts w:hint="eastAsia" w:ascii="仿宋" w:hAnsi="仿宋" w:eastAsia="仿宋" w:cs="仿宋"/>
          <w:spacing w:val="9"/>
          <w:sz w:val="31"/>
          <w:szCs w:val="31"/>
          <w:lang w:eastAsia="zh-CN"/>
        </w:rPr>
        <w:t>万元，支出决算</w:t>
      </w:r>
      <w:r>
        <w:rPr>
          <w:rFonts w:hint="eastAsia" w:ascii="仿宋" w:hAnsi="仿宋" w:eastAsia="仿宋" w:cs="仿宋"/>
          <w:spacing w:val="9"/>
          <w:sz w:val="31"/>
          <w:szCs w:val="31"/>
          <w:u w:val="single"/>
          <w:lang w:eastAsia="zh-CN"/>
        </w:rPr>
        <w:t>20.99</w:t>
      </w:r>
      <w:r>
        <w:rPr>
          <w:rFonts w:hint="eastAsia" w:ascii="仿宋" w:hAnsi="仿宋" w:eastAsia="仿宋" w:cs="仿宋"/>
          <w:spacing w:val="9"/>
          <w:sz w:val="31"/>
          <w:szCs w:val="31"/>
          <w:lang w:eastAsia="zh-CN"/>
        </w:rPr>
        <w:t>万元，完成年初预算的</w:t>
      </w:r>
      <w:r>
        <w:rPr>
          <w:rFonts w:hint="eastAsia" w:ascii="仿宋" w:hAnsi="仿宋" w:eastAsia="仿宋" w:cs="仿宋"/>
          <w:spacing w:val="9"/>
          <w:sz w:val="31"/>
          <w:szCs w:val="31"/>
          <w:u w:val="single"/>
          <w:lang w:val="en-US" w:eastAsia="zh-CN"/>
        </w:rPr>
        <w:t>102.3</w:t>
      </w:r>
      <w:r>
        <w:rPr>
          <w:rFonts w:hint="eastAsia" w:ascii="仿宋" w:hAnsi="仿宋" w:eastAsia="仿宋" w:cs="仿宋"/>
          <w:spacing w:val="9"/>
          <w:sz w:val="31"/>
          <w:szCs w:val="31"/>
          <w:lang w:eastAsia="zh-CN"/>
        </w:rPr>
        <w:t>%。决算数与年初预算数的差异原因：</w:t>
      </w:r>
      <w:r>
        <w:rPr>
          <w:rFonts w:ascii="仿宋" w:hAnsi="仿宋" w:eastAsia="仿宋" w:cs="仿宋"/>
          <w:spacing w:val="6"/>
          <w:sz w:val="31"/>
          <w:szCs w:val="31"/>
        </w:rPr>
        <w:t>人员工</w:t>
      </w:r>
      <w:r>
        <w:rPr>
          <w:rFonts w:ascii="仿宋" w:hAnsi="仿宋" w:eastAsia="仿宋" w:cs="仿宋"/>
          <w:spacing w:val="5"/>
          <w:sz w:val="31"/>
          <w:szCs w:val="31"/>
        </w:rPr>
        <w:t>资</w:t>
      </w:r>
      <w:r>
        <w:rPr>
          <w:rFonts w:hint="eastAsia" w:ascii="仿宋" w:hAnsi="仿宋" w:eastAsia="仿宋" w:cs="仿宋"/>
          <w:spacing w:val="5"/>
          <w:sz w:val="31"/>
          <w:szCs w:val="31"/>
          <w:lang w:val="en-US" w:eastAsia="zh-CN"/>
        </w:rPr>
        <w:t>增长</w:t>
      </w:r>
      <w:r>
        <w:rPr>
          <w:rFonts w:ascii="仿宋" w:hAnsi="仿宋" w:eastAsia="仿宋" w:cs="仿宋"/>
          <w:spacing w:val="5"/>
          <w:sz w:val="31"/>
          <w:szCs w:val="31"/>
        </w:rPr>
        <w:t>使医疗保险</w:t>
      </w:r>
      <w:r>
        <w:rPr>
          <w:rFonts w:hint="eastAsia" w:ascii="仿宋" w:hAnsi="仿宋" w:eastAsia="仿宋" w:cs="仿宋"/>
          <w:spacing w:val="5"/>
          <w:sz w:val="31"/>
          <w:szCs w:val="31"/>
          <w:lang w:val="en-US" w:eastAsia="zh-CN"/>
        </w:rPr>
        <w:t>缴费</w:t>
      </w:r>
      <w:r>
        <w:rPr>
          <w:rFonts w:ascii="仿宋" w:hAnsi="仿宋" w:eastAsia="仿宋" w:cs="仿宋"/>
          <w:spacing w:val="5"/>
          <w:sz w:val="31"/>
          <w:szCs w:val="31"/>
        </w:rPr>
        <w:t>基数增大，</w:t>
      </w:r>
      <w:r>
        <w:rPr>
          <w:rFonts w:ascii="仿宋" w:hAnsi="仿宋" w:eastAsia="仿宋" w:cs="仿宋"/>
          <w:spacing w:val="-75"/>
          <w:sz w:val="31"/>
          <w:szCs w:val="31"/>
        </w:rPr>
        <w:t xml:space="preserve"> </w:t>
      </w:r>
      <w:r>
        <w:rPr>
          <w:rFonts w:ascii="仿宋" w:hAnsi="仿宋" w:eastAsia="仿宋" w:cs="仿宋"/>
          <w:spacing w:val="5"/>
          <w:sz w:val="31"/>
          <w:szCs w:val="31"/>
        </w:rPr>
        <w:t>医疗保险缴费增加。</w:t>
      </w:r>
    </w:p>
    <w:p w14:paraId="14B78D6E">
      <w:pPr>
        <w:keepNext w:val="0"/>
        <w:keepLines w:val="0"/>
        <w:pageBreakBefore w:val="0"/>
        <w:widowControl/>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val="en-US" w:eastAsia="zh-CN"/>
        </w:rPr>
        <w:t>4</w:t>
      </w:r>
      <w:r>
        <w:rPr>
          <w:rFonts w:hint="eastAsia" w:ascii="仿宋" w:hAnsi="仿宋" w:eastAsia="仿宋" w:cs="仿宋"/>
          <w:spacing w:val="9"/>
          <w:sz w:val="31"/>
          <w:szCs w:val="31"/>
          <w:lang w:eastAsia="zh-CN"/>
        </w:rPr>
        <w:t>．行政事业单位医疗（款）公务员医疗补助（项）。年初预算</w:t>
      </w:r>
      <w:r>
        <w:rPr>
          <w:rFonts w:ascii="Times New Roman" w:hAnsi="Times New Roman" w:eastAsia="Times New Roman" w:cs="Times New Roman"/>
          <w:spacing w:val="-7"/>
          <w:sz w:val="31"/>
          <w:szCs w:val="31"/>
          <w:u w:val="single" w:color="auto"/>
        </w:rPr>
        <w:t>4.77</w:t>
      </w:r>
      <w:r>
        <w:rPr>
          <w:rFonts w:ascii="Times New Roman" w:hAnsi="Times New Roman" w:eastAsia="Times New Roman" w:cs="Times New Roman"/>
          <w:sz w:val="31"/>
          <w:szCs w:val="31"/>
        </w:rPr>
        <w:t xml:space="preserve"> </w:t>
      </w:r>
      <w:r>
        <w:rPr>
          <w:rFonts w:hint="eastAsia" w:ascii="仿宋" w:hAnsi="仿宋" w:eastAsia="仿宋" w:cs="仿宋"/>
          <w:spacing w:val="9"/>
          <w:sz w:val="31"/>
          <w:szCs w:val="31"/>
          <w:lang w:eastAsia="zh-CN"/>
        </w:rPr>
        <w:t>万元，支出决算</w:t>
      </w:r>
      <w:r>
        <w:rPr>
          <w:rFonts w:hint="eastAsia" w:ascii="仿宋" w:hAnsi="仿宋" w:eastAsia="仿宋" w:cs="仿宋"/>
          <w:spacing w:val="9"/>
          <w:sz w:val="31"/>
          <w:szCs w:val="31"/>
          <w:u w:val="single"/>
          <w:lang w:eastAsia="zh-CN"/>
        </w:rPr>
        <w:t>4.55</w:t>
      </w:r>
      <w:r>
        <w:rPr>
          <w:rFonts w:hint="eastAsia" w:ascii="仿宋" w:hAnsi="仿宋" w:eastAsia="仿宋" w:cs="仿宋"/>
          <w:spacing w:val="9"/>
          <w:sz w:val="31"/>
          <w:szCs w:val="31"/>
          <w:lang w:eastAsia="zh-CN"/>
        </w:rPr>
        <w:t>万元，完成年初预算的</w:t>
      </w:r>
      <w:r>
        <w:rPr>
          <w:rFonts w:hint="eastAsia" w:ascii="仿宋" w:hAnsi="仿宋" w:eastAsia="仿宋" w:cs="仿宋"/>
          <w:spacing w:val="9"/>
          <w:sz w:val="31"/>
          <w:szCs w:val="31"/>
          <w:u w:val="single"/>
          <w:lang w:val="en-US" w:eastAsia="zh-CN"/>
        </w:rPr>
        <w:t>95.4</w:t>
      </w:r>
      <w:r>
        <w:rPr>
          <w:rFonts w:hint="eastAsia" w:ascii="仿宋" w:hAnsi="仿宋" w:eastAsia="仿宋" w:cs="仿宋"/>
          <w:spacing w:val="9"/>
          <w:sz w:val="31"/>
          <w:szCs w:val="31"/>
          <w:lang w:eastAsia="zh-CN"/>
        </w:rPr>
        <w:t>%。决算数与年初预算数的差异原因：</w:t>
      </w:r>
      <w:r>
        <w:rPr>
          <w:rFonts w:hint="eastAsia" w:ascii="仿宋" w:hAnsi="仿宋" w:eastAsia="仿宋" w:cs="仿宋"/>
          <w:spacing w:val="9"/>
          <w:sz w:val="31"/>
          <w:szCs w:val="31"/>
          <w:lang w:val="en-US" w:eastAsia="zh-CN"/>
        </w:rPr>
        <w:t>年中有人员变动，</w:t>
      </w:r>
      <w:r>
        <w:rPr>
          <w:rFonts w:hint="eastAsia" w:ascii="仿宋" w:hAnsi="仿宋" w:eastAsia="仿宋" w:cs="仿宋"/>
          <w:spacing w:val="9"/>
          <w:sz w:val="31"/>
          <w:szCs w:val="31"/>
          <w:lang w:eastAsia="zh-CN"/>
        </w:rPr>
        <w:t>公务员医疗补助</w:t>
      </w:r>
      <w:r>
        <w:rPr>
          <w:rFonts w:hint="eastAsia" w:ascii="仿宋" w:hAnsi="仿宋" w:eastAsia="仿宋" w:cs="仿宋"/>
          <w:spacing w:val="9"/>
          <w:sz w:val="31"/>
          <w:szCs w:val="31"/>
          <w:lang w:val="en-US" w:eastAsia="zh-CN"/>
        </w:rPr>
        <w:t>实际缴费较年初预算减少</w:t>
      </w:r>
      <w:r>
        <w:rPr>
          <w:rFonts w:hint="eastAsia" w:ascii="仿宋" w:hAnsi="仿宋" w:eastAsia="仿宋" w:cs="仿宋"/>
          <w:spacing w:val="9"/>
          <w:sz w:val="31"/>
          <w:szCs w:val="31"/>
          <w:lang w:eastAsia="zh-CN"/>
        </w:rPr>
        <w:t>。</w:t>
      </w:r>
    </w:p>
    <w:p w14:paraId="1183A142">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w:t>
      </w:r>
      <w:r>
        <w:rPr>
          <w:rFonts w:hint="eastAsia" w:ascii="楷体" w:hAnsi="楷体" w:eastAsia="楷体" w:cs="楷体"/>
          <w:spacing w:val="5"/>
          <w:sz w:val="31"/>
          <w:szCs w:val="31"/>
          <w:lang w:val="en-US" w:eastAsia="zh-CN"/>
        </w:rPr>
        <w:t>四</w:t>
      </w:r>
      <w:r>
        <w:rPr>
          <w:rFonts w:ascii="楷体" w:hAnsi="楷体" w:eastAsia="楷体" w:cs="楷体"/>
          <w:spacing w:val="5"/>
          <w:sz w:val="31"/>
          <w:szCs w:val="31"/>
        </w:rPr>
        <w:t>）节能环保支出（类）</w:t>
      </w:r>
    </w:p>
    <w:p w14:paraId="10096FB7">
      <w:pPr>
        <w:keepNext w:val="0"/>
        <w:keepLines w:val="0"/>
        <w:pageBreakBefore w:val="0"/>
        <w:widowControl/>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kern w:val="2"/>
          <w:sz w:val="31"/>
          <w:szCs w:val="31"/>
          <w:lang w:val="en-US" w:eastAsia="zh-CN" w:bidi="ar-SA"/>
        </w:rPr>
        <w:t>节能环保支出类决算数为</w:t>
      </w:r>
      <w:r>
        <w:rPr>
          <w:rFonts w:hint="eastAsia" w:ascii="仿宋" w:hAnsi="仿宋" w:eastAsia="仿宋" w:cs="仿宋"/>
          <w:spacing w:val="9"/>
          <w:kern w:val="2"/>
          <w:sz w:val="31"/>
          <w:szCs w:val="31"/>
          <w:u w:val="single"/>
          <w:lang w:val="en-US" w:eastAsia="zh-CN" w:bidi="ar-SA"/>
        </w:rPr>
        <w:t>1,060.71</w:t>
      </w:r>
      <w:r>
        <w:rPr>
          <w:rFonts w:hint="eastAsia" w:ascii="仿宋" w:hAnsi="仿宋" w:eastAsia="仿宋" w:cs="仿宋"/>
          <w:spacing w:val="9"/>
          <w:kern w:val="2"/>
          <w:sz w:val="31"/>
          <w:szCs w:val="31"/>
          <w:lang w:val="en-US" w:eastAsia="zh-CN" w:bidi="ar-SA"/>
        </w:rPr>
        <w:t>万元，与年初预算相</w:t>
      </w:r>
      <w:r>
        <w:rPr>
          <w:rFonts w:hint="eastAsia" w:ascii="仿宋" w:hAnsi="仿宋" w:eastAsia="仿宋" w:cs="仿宋"/>
          <w:spacing w:val="9"/>
          <w:sz w:val="31"/>
          <w:szCs w:val="31"/>
          <w:lang w:val="en-US" w:eastAsia="zh-CN"/>
        </w:rPr>
        <w:t>比减少</w:t>
      </w:r>
      <w:r>
        <w:rPr>
          <w:rFonts w:hint="eastAsia" w:ascii="仿宋" w:hAnsi="仿宋" w:eastAsia="仿宋" w:cs="仿宋"/>
          <w:spacing w:val="9"/>
          <w:sz w:val="31"/>
          <w:szCs w:val="31"/>
          <w:u w:val="single"/>
          <w:lang w:val="en-US" w:eastAsia="zh-CN"/>
        </w:rPr>
        <w:t>300.01</w:t>
      </w:r>
      <w:r>
        <w:rPr>
          <w:rFonts w:hint="eastAsia" w:ascii="仿宋" w:hAnsi="仿宋" w:eastAsia="仿宋" w:cs="仿宋"/>
          <w:spacing w:val="9"/>
          <w:sz w:val="31"/>
          <w:szCs w:val="31"/>
          <w:lang w:val="en-US" w:eastAsia="zh-CN"/>
        </w:rPr>
        <w:t>万元。其中：</w:t>
      </w:r>
    </w:p>
    <w:p w14:paraId="71C6B6F0">
      <w:pPr>
        <w:keepNext w:val="0"/>
        <w:keepLines w:val="0"/>
        <w:pageBreakBefore w:val="0"/>
        <w:widowControl/>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1.能源管理事务（款）行政运行（项）。年初预算</w:t>
      </w:r>
      <w:r>
        <w:rPr>
          <w:rFonts w:hint="eastAsia" w:ascii="仿宋" w:hAnsi="仿宋" w:eastAsia="仿宋" w:cs="仿宋"/>
          <w:spacing w:val="9"/>
          <w:sz w:val="31"/>
          <w:szCs w:val="31"/>
          <w:u w:val="single"/>
          <w:lang w:val="en-US" w:eastAsia="zh-CN"/>
        </w:rPr>
        <w:t>318.52</w:t>
      </w:r>
      <w:r>
        <w:rPr>
          <w:rFonts w:hint="eastAsia" w:ascii="仿宋" w:hAnsi="仿宋" w:eastAsia="仿宋" w:cs="仿宋"/>
          <w:spacing w:val="9"/>
          <w:sz w:val="31"/>
          <w:szCs w:val="31"/>
          <w:lang w:val="en-US" w:eastAsia="zh-CN"/>
        </w:rPr>
        <w:t>万元，支出决算</w:t>
      </w:r>
      <w:r>
        <w:rPr>
          <w:rFonts w:hint="eastAsia" w:ascii="仿宋" w:hAnsi="仿宋" w:eastAsia="仿宋" w:cs="仿宋"/>
          <w:spacing w:val="9"/>
          <w:sz w:val="31"/>
          <w:szCs w:val="31"/>
          <w:u w:val="single"/>
          <w:lang w:val="en-US" w:eastAsia="zh-CN"/>
        </w:rPr>
        <w:t>329.41</w:t>
      </w:r>
      <w:r>
        <w:rPr>
          <w:rFonts w:hint="eastAsia" w:ascii="仿宋" w:hAnsi="仿宋" w:eastAsia="仿宋" w:cs="仿宋"/>
          <w:spacing w:val="9"/>
          <w:sz w:val="31"/>
          <w:szCs w:val="31"/>
          <w:lang w:val="en-US" w:eastAsia="zh-CN"/>
        </w:rPr>
        <w:t>万元，完成年初预算的</w:t>
      </w:r>
      <w:r>
        <w:rPr>
          <w:rFonts w:hint="eastAsia" w:ascii="仿宋" w:hAnsi="仿宋" w:eastAsia="仿宋" w:cs="仿宋"/>
          <w:spacing w:val="9"/>
          <w:sz w:val="31"/>
          <w:szCs w:val="31"/>
          <w:u w:val="single"/>
          <w:lang w:val="en-US" w:eastAsia="zh-CN"/>
        </w:rPr>
        <w:t>103</w:t>
      </w:r>
      <w:r>
        <w:rPr>
          <w:rFonts w:hint="eastAsia" w:ascii="仿宋" w:hAnsi="仿宋" w:eastAsia="仿宋" w:cs="仿宋"/>
          <w:spacing w:val="9"/>
          <w:sz w:val="31"/>
          <w:szCs w:val="31"/>
          <w:lang w:val="en-US" w:eastAsia="zh-CN"/>
        </w:rPr>
        <w:t>%。决算数与年初预算数的差异原因：锡林郭勒盟能源局2023年预算按照上年工资基数编制，人员工资变动使工资及社保支出增加，与年初预算产生差异。</w:t>
      </w:r>
    </w:p>
    <w:p w14:paraId="143BD229">
      <w:pPr>
        <w:keepNext w:val="0"/>
        <w:keepLines w:val="0"/>
        <w:pageBreakBefore w:val="0"/>
        <w:widowControl/>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2.能源管理事务（款）机关服务（项）。年初预算</w:t>
      </w:r>
      <w:r>
        <w:rPr>
          <w:rFonts w:ascii="宋体" w:hAnsi="宋体" w:eastAsia="宋体" w:cs="宋体"/>
          <w:spacing w:val="3"/>
          <w:sz w:val="31"/>
          <w:szCs w:val="31"/>
          <w:u w:val="single" w:color="auto"/>
        </w:rPr>
        <w:t>16</w:t>
      </w:r>
      <w:r>
        <w:rPr>
          <w:rFonts w:ascii="宋体" w:hAnsi="宋体" w:eastAsia="宋体" w:cs="宋体"/>
          <w:spacing w:val="2"/>
          <w:sz w:val="31"/>
          <w:szCs w:val="31"/>
          <w:u w:val="single" w:color="auto"/>
        </w:rPr>
        <w:t xml:space="preserve">0.05 </w:t>
      </w:r>
      <w:r>
        <w:rPr>
          <w:rFonts w:hint="eastAsia" w:ascii="仿宋" w:hAnsi="仿宋" w:eastAsia="仿宋" w:cs="仿宋"/>
          <w:spacing w:val="9"/>
          <w:sz w:val="31"/>
          <w:szCs w:val="31"/>
          <w:lang w:val="en-US" w:eastAsia="zh-CN"/>
        </w:rPr>
        <w:t>万元，支出决算</w:t>
      </w:r>
      <w:r>
        <w:rPr>
          <w:rFonts w:hint="eastAsia" w:ascii="仿宋" w:hAnsi="仿宋" w:eastAsia="仿宋" w:cs="仿宋"/>
          <w:spacing w:val="9"/>
          <w:sz w:val="31"/>
          <w:szCs w:val="31"/>
          <w:u w:val="single"/>
          <w:lang w:val="en-US" w:eastAsia="zh-CN"/>
        </w:rPr>
        <w:t>175.71</w:t>
      </w:r>
      <w:r>
        <w:rPr>
          <w:rFonts w:hint="eastAsia" w:ascii="仿宋" w:hAnsi="仿宋" w:eastAsia="仿宋" w:cs="仿宋"/>
          <w:spacing w:val="9"/>
          <w:sz w:val="31"/>
          <w:szCs w:val="31"/>
          <w:lang w:val="en-US" w:eastAsia="zh-CN"/>
        </w:rPr>
        <w:t>万元，完成年初预算的</w:t>
      </w:r>
      <w:r>
        <w:rPr>
          <w:rFonts w:hint="eastAsia" w:ascii="仿宋" w:hAnsi="仿宋" w:eastAsia="仿宋" w:cs="仿宋"/>
          <w:spacing w:val="9"/>
          <w:sz w:val="31"/>
          <w:szCs w:val="31"/>
          <w:u w:val="single"/>
          <w:lang w:val="en-US" w:eastAsia="zh-CN"/>
        </w:rPr>
        <w:t>109.8</w:t>
      </w:r>
      <w:r>
        <w:rPr>
          <w:rFonts w:hint="eastAsia" w:ascii="仿宋" w:hAnsi="仿宋" w:eastAsia="仿宋" w:cs="仿宋"/>
          <w:spacing w:val="9"/>
          <w:sz w:val="31"/>
          <w:szCs w:val="31"/>
          <w:lang w:val="en-US" w:eastAsia="zh-CN"/>
        </w:rPr>
        <w:t>%。决算数与年初预算数的差异原因：锡林郭勒盟能源局综合保障中心2023年预算按照上年工资基数编制，年中有人员工资变动，相应人员工资及保险等都有增长。</w:t>
      </w:r>
    </w:p>
    <w:p w14:paraId="1C33EC30">
      <w:pPr>
        <w:keepNext w:val="0"/>
        <w:keepLines w:val="0"/>
        <w:pageBreakBefore w:val="0"/>
        <w:widowControl/>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3.能源管理事务（款）能源行业管理（项）。年初预算</w:t>
      </w:r>
      <w:r>
        <w:rPr>
          <w:rFonts w:hint="eastAsia" w:ascii="仿宋" w:hAnsi="仿宋" w:eastAsia="仿宋" w:cs="仿宋"/>
          <w:spacing w:val="9"/>
          <w:sz w:val="31"/>
          <w:szCs w:val="31"/>
          <w:u w:val="single"/>
          <w:lang w:eastAsia="zh-CN"/>
        </w:rPr>
        <w:t xml:space="preserve">590.2 </w:t>
      </w:r>
      <w:r>
        <w:rPr>
          <w:rFonts w:hint="eastAsia" w:ascii="仿宋" w:hAnsi="仿宋" w:eastAsia="仿宋" w:cs="仿宋"/>
          <w:spacing w:val="9"/>
          <w:sz w:val="31"/>
          <w:szCs w:val="31"/>
          <w:lang w:val="en-US" w:eastAsia="zh-CN"/>
        </w:rPr>
        <w:t>万元，支出决算</w:t>
      </w:r>
      <w:r>
        <w:rPr>
          <w:rFonts w:hint="eastAsia" w:ascii="仿宋" w:hAnsi="仿宋" w:eastAsia="仿宋" w:cs="仿宋"/>
          <w:spacing w:val="9"/>
          <w:sz w:val="31"/>
          <w:szCs w:val="31"/>
          <w:u w:val="single"/>
          <w:lang w:val="en-US" w:eastAsia="zh-CN"/>
        </w:rPr>
        <w:t>235.65</w:t>
      </w:r>
      <w:r>
        <w:rPr>
          <w:rFonts w:hint="eastAsia" w:ascii="仿宋" w:hAnsi="仿宋" w:eastAsia="仿宋" w:cs="仿宋"/>
          <w:spacing w:val="9"/>
          <w:sz w:val="31"/>
          <w:szCs w:val="31"/>
          <w:lang w:val="en-US" w:eastAsia="zh-CN"/>
        </w:rPr>
        <w:t>万元，完成年初预算的</w:t>
      </w:r>
      <w:r>
        <w:rPr>
          <w:rFonts w:hint="eastAsia" w:ascii="仿宋" w:hAnsi="仿宋" w:eastAsia="仿宋" w:cs="仿宋"/>
          <w:spacing w:val="9"/>
          <w:sz w:val="31"/>
          <w:szCs w:val="31"/>
          <w:u w:val="single"/>
          <w:lang w:val="en-US" w:eastAsia="zh-CN"/>
        </w:rPr>
        <w:t>40</w:t>
      </w:r>
      <w:r>
        <w:rPr>
          <w:rFonts w:hint="eastAsia" w:ascii="仿宋" w:hAnsi="仿宋" w:eastAsia="仿宋" w:cs="仿宋"/>
          <w:spacing w:val="9"/>
          <w:sz w:val="31"/>
          <w:szCs w:val="31"/>
          <w:lang w:val="en-US" w:eastAsia="zh-CN"/>
        </w:rPr>
        <w:t>%。决算数与年初预算数的差异原因：主要是规划编制费、全盟“十四五”新能源发展规划等项目经费本年未完工支付，结转至下年。</w:t>
      </w:r>
    </w:p>
    <w:p w14:paraId="09423BA2">
      <w:pPr>
        <w:keepNext w:val="0"/>
        <w:keepLines w:val="0"/>
        <w:pageBreakBefore w:val="0"/>
        <w:widowControl w:val="0"/>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4.能源管理事务（款）事业运行（项）。年初预算</w:t>
      </w:r>
      <w:r>
        <w:rPr>
          <w:rFonts w:hint="eastAsia" w:ascii="仿宋" w:hAnsi="仿宋" w:eastAsia="仿宋" w:cs="仿宋"/>
          <w:spacing w:val="9"/>
          <w:sz w:val="31"/>
          <w:szCs w:val="31"/>
          <w:u w:val="single"/>
          <w:lang w:eastAsia="zh-CN"/>
        </w:rPr>
        <w:t xml:space="preserve">291.95 </w:t>
      </w:r>
      <w:r>
        <w:rPr>
          <w:rFonts w:hint="eastAsia" w:ascii="仿宋" w:hAnsi="仿宋" w:eastAsia="仿宋" w:cs="仿宋"/>
          <w:spacing w:val="9"/>
          <w:sz w:val="31"/>
          <w:szCs w:val="31"/>
          <w:lang w:val="en-US" w:eastAsia="zh-CN"/>
        </w:rPr>
        <w:t>万元，支出决算</w:t>
      </w:r>
      <w:r>
        <w:rPr>
          <w:rFonts w:hint="eastAsia" w:ascii="仿宋" w:hAnsi="仿宋" w:eastAsia="仿宋" w:cs="仿宋"/>
          <w:spacing w:val="9"/>
          <w:sz w:val="31"/>
          <w:szCs w:val="31"/>
          <w:u w:val="single"/>
          <w:lang w:val="en-US" w:eastAsia="zh-CN"/>
        </w:rPr>
        <w:t>319.94</w:t>
      </w:r>
      <w:r>
        <w:rPr>
          <w:rFonts w:hint="eastAsia" w:ascii="仿宋" w:hAnsi="仿宋" w:eastAsia="仿宋" w:cs="仿宋"/>
          <w:spacing w:val="9"/>
          <w:sz w:val="31"/>
          <w:szCs w:val="31"/>
          <w:lang w:val="en-US" w:eastAsia="zh-CN"/>
        </w:rPr>
        <w:t>万元，完成年初预算的</w:t>
      </w:r>
      <w:r>
        <w:rPr>
          <w:rFonts w:hint="eastAsia" w:ascii="仿宋" w:hAnsi="仿宋" w:eastAsia="仿宋" w:cs="仿宋"/>
          <w:spacing w:val="9"/>
          <w:sz w:val="31"/>
          <w:szCs w:val="31"/>
          <w:u w:val="single"/>
          <w:lang w:val="en-US" w:eastAsia="zh-CN"/>
        </w:rPr>
        <w:t>109.6</w:t>
      </w:r>
      <w:r>
        <w:rPr>
          <w:rFonts w:hint="eastAsia" w:ascii="仿宋" w:hAnsi="仿宋" w:eastAsia="仿宋" w:cs="仿宋"/>
          <w:spacing w:val="9"/>
          <w:sz w:val="31"/>
          <w:szCs w:val="31"/>
          <w:lang w:val="en-US" w:eastAsia="zh-CN"/>
        </w:rPr>
        <w:t>%。决算数与年初预算数的差异原因：锡林郭勒盟能源管理综合行政执法支队2023年预算按照上年工资基数编制，年中有人员工资变动，相应人员工资及保险等都有增长。</w:t>
      </w:r>
    </w:p>
    <w:p w14:paraId="00332A61">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w:t>
      </w:r>
      <w:r>
        <w:rPr>
          <w:rFonts w:hint="eastAsia" w:ascii="楷体" w:hAnsi="楷体" w:eastAsia="楷体" w:cs="楷体"/>
          <w:spacing w:val="5"/>
          <w:sz w:val="31"/>
          <w:szCs w:val="31"/>
          <w:lang w:val="en-US" w:eastAsia="zh-CN"/>
        </w:rPr>
        <w:t>五</w:t>
      </w:r>
      <w:r>
        <w:rPr>
          <w:rFonts w:ascii="楷体" w:hAnsi="楷体" w:eastAsia="楷体" w:cs="楷体"/>
          <w:spacing w:val="5"/>
          <w:sz w:val="31"/>
          <w:szCs w:val="31"/>
        </w:rPr>
        <w:t>）资源勘探工业信息等支出（类）</w:t>
      </w:r>
    </w:p>
    <w:p w14:paraId="5BE13508">
      <w:pPr>
        <w:keepNext w:val="0"/>
        <w:keepLines w:val="0"/>
        <w:pageBreakBefore w:val="0"/>
        <w:widowControl/>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资源勘探工业信息等支出类决算数为</w:t>
      </w:r>
      <w:r>
        <w:rPr>
          <w:rFonts w:hint="eastAsia" w:ascii="仿宋" w:hAnsi="仿宋" w:eastAsia="仿宋" w:cs="仿宋"/>
          <w:spacing w:val="9"/>
          <w:sz w:val="31"/>
          <w:szCs w:val="31"/>
          <w:u w:val="single"/>
          <w:lang w:val="en-US" w:eastAsia="zh-CN"/>
        </w:rPr>
        <w:t>16.00</w:t>
      </w:r>
      <w:r>
        <w:rPr>
          <w:rFonts w:hint="eastAsia" w:ascii="仿宋" w:hAnsi="仿宋" w:eastAsia="仿宋" w:cs="仿宋"/>
          <w:spacing w:val="9"/>
          <w:sz w:val="31"/>
          <w:szCs w:val="31"/>
          <w:lang w:val="en-US" w:eastAsia="zh-CN"/>
        </w:rPr>
        <w:t>万元，与年初预算相比无变动。其中：</w:t>
      </w:r>
    </w:p>
    <w:p w14:paraId="53472307">
      <w:pPr>
        <w:keepNext w:val="0"/>
        <w:keepLines w:val="0"/>
        <w:pageBreakBefore w:val="0"/>
        <w:widowControl/>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其他资源勘探工业信息等支出（款）其他资源勘探工业信息等支出（项）。年初预算</w:t>
      </w:r>
      <w:r>
        <w:rPr>
          <w:rFonts w:hint="eastAsia" w:ascii="仿宋" w:hAnsi="仿宋" w:eastAsia="仿宋" w:cs="仿宋"/>
          <w:spacing w:val="9"/>
          <w:sz w:val="31"/>
          <w:szCs w:val="31"/>
          <w:u w:val="single"/>
          <w:lang w:val="en-US" w:eastAsia="zh-CN"/>
        </w:rPr>
        <w:t>16.00</w:t>
      </w:r>
      <w:r>
        <w:rPr>
          <w:rFonts w:hint="eastAsia" w:ascii="仿宋" w:hAnsi="仿宋" w:eastAsia="仿宋" w:cs="仿宋"/>
          <w:spacing w:val="9"/>
          <w:sz w:val="31"/>
          <w:szCs w:val="31"/>
          <w:lang w:val="en-US" w:eastAsia="zh-CN"/>
        </w:rPr>
        <w:t>万元，支出决算</w:t>
      </w:r>
      <w:r>
        <w:rPr>
          <w:rFonts w:hint="eastAsia" w:ascii="仿宋" w:hAnsi="仿宋" w:eastAsia="仿宋" w:cs="仿宋"/>
          <w:spacing w:val="9"/>
          <w:sz w:val="31"/>
          <w:szCs w:val="31"/>
          <w:u w:val="single"/>
          <w:lang w:val="en-US" w:eastAsia="zh-CN"/>
        </w:rPr>
        <w:t>16.00</w:t>
      </w:r>
      <w:r>
        <w:rPr>
          <w:rFonts w:hint="eastAsia" w:ascii="仿宋" w:hAnsi="仿宋" w:eastAsia="仿宋" w:cs="仿宋"/>
          <w:spacing w:val="9"/>
          <w:sz w:val="31"/>
          <w:szCs w:val="31"/>
          <w:lang w:val="en-US" w:eastAsia="zh-CN"/>
        </w:rPr>
        <w:t>万元，完成年初预算的</w:t>
      </w:r>
      <w:r>
        <w:rPr>
          <w:rFonts w:hint="eastAsia" w:ascii="仿宋" w:hAnsi="仿宋" w:eastAsia="仿宋" w:cs="仿宋"/>
          <w:spacing w:val="9"/>
          <w:sz w:val="31"/>
          <w:szCs w:val="31"/>
          <w:u w:val="single"/>
          <w:lang w:val="en-US" w:eastAsia="zh-CN"/>
        </w:rPr>
        <w:t>100</w:t>
      </w:r>
      <w:r>
        <w:rPr>
          <w:rFonts w:hint="eastAsia" w:ascii="仿宋" w:hAnsi="仿宋" w:eastAsia="仿宋" w:cs="仿宋"/>
          <w:spacing w:val="9"/>
          <w:sz w:val="31"/>
          <w:szCs w:val="31"/>
          <w:lang w:val="en-US" w:eastAsia="zh-CN"/>
        </w:rPr>
        <w:t>%。决算数与年初预算数无差异。</w:t>
      </w:r>
    </w:p>
    <w:p w14:paraId="7A3D3F03">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w:t>
      </w:r>
      <w:r>
        <w:rPr>
          <w:rFonts w:hint="eastAsia" w:ascii="楷体" w:hAnsi="楷体" w:eastAsia="楷体" w:cs="楷体"/>
          <w:spacing w:val="5"/>
          <w:sz w:val="31"/>
          <w:szCs w:val="31"/>
          <w:lang w:val="en-US" w:eastAsia="zh-CN"/>
        </w:rPr>
        <w:t>六</w:t>
      </w:r>
      <w:r>
        <w:rPr>
          <w:rFonts w:ascii="楷体" w:hAnsi="楷体" w:eastAsia="楷体" w:cs="楷体"/>
          <w:spacing w:val="5"/>
          <w:sz w:val="31"/>
          <w:szCs w:val="31"/>
        </w:rPr>
        <w:t>）住房保障支出（类）</w:t>
      </w:r>
    </w:p>
    <w:p w14:paraId="2FC1B737">
      <w:pPr>
        <w:keepNext w:val="0"/>
        <w:keepLines w:val="0"/>
        <w:pageBreakBefore w:val="0"/>
        <w:widowControl/>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住房保障支出类决算数为</w:t>
      </w:r>
      <w:r>
        <w:rPr>
          <w:rFonts w:hint="eastAsia" w:ascii="仿宋" w:hAnsi="仿宋" w:eastAsia="仿宋" w:cs="仿宋"/>
          <w:spacing w:val="9"/>
          <w:sz w:val="31"/>
          <w:szCs w:val="31"/>
          <w:u w:val="single"/>
          <w:lang w:val="en-US" w:eastAsia="zh-CN"/>
        </w:rPr>
        <w:t>98.55</w:t>
      </w:r>
      <w:r>
        <w:rPr>
          <w:rFonts w:hint="eastAsia" w:ascii="仿宋" w:hAnsi="仿宋" w:eastAsia="仿宋" w:cs="仿宋"/>
          <w:spacing w:val="9"/>
          <w:sz w:val="31"/>
          <w:szCs w:val="31"/>
          <w:lang w:val="en-US" w:eastAsia="zh-CN"/>
        </w:rPr>
        <w:t xml:space="preserve">万元，与年初预算相比增加 </w:t>
      </w:r>
      <w:r>
        <w:rPr>
          <w:rFonts w:hint="eastAsia" w:ascii="仿宋" w:hAnsi="仿宋" w:eastAsia="仿宋" w:cs="仿宋"/>
          <w:spacing w:val="9"/>
          <w:sz w:val="31"/>
          <w:szCs w:val="31"/>
          <w:u w:val="single"/>
          <w:lang w:val="en-US" w:eastAsia="zh-CN"/>
        </w:rPr>
        <w:t>0.49</w:t>
      </w:r>
      <w:r>
        <w:rPr>
          <w:rFonts w:hint="eastAsia" w:ascii="仿宋" w:hAnsi="仿宋" w:eastAsia="仿宋" w:cs="仿宋"/>
          <w:spacing w:val="9"/>
          <w:sz w:val="31"/>
          <w:szCs w:val="31"/>
          <w:lang w:val="en-US" w:eastAsia="zh-CN"/>
        </w:rPr>
        <w:t>万元。其中：</w:t>
      </w:r>
    </w:p>
    <w:p w14:paraId="38664E6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住房改革支出（款）住房公积金（项）。年初预算</w:t>
      </w:r>
      <w:r>
        <w:rPr>
          <w:rFonts w:hint="eastAsia" w:ascii="仿宋" w:hAnsi="仿宋" w:eastAsia="仿宋" w:cs="仿宋"/>
          <w:spacing w:val="9"/>
          <w:sz w:val="31"/>
          <w:szCs w:val="31"/>
          <w:u w:val="single"/>
          <w:lang w:val="en-US" w:eastAsia="zh-CN"/>
        </w:rPr>
        <w:t>73.67</w:t>
      </w:r>
      <w:r>
        <w:rPr>
          <w:rFonts w:hint="eastAsia" w:ascii="仿宋" w:hAnsi="仿宋" w:eastAsia="仿宋" w:cs="仿宋"/>
          <w:spacing w:val="9"/>
          <w:sz w:val="31"/>
          <w:szCs w:val="31"/>
          <w:lang w:val="en-US" w:eastAsia="zh-CN"/>
        </w:rPr>
        <w:t>万元，支出决算</w:t>
      </w:r>
      <w:r>
        <w:rPr>
          <w:rFonts w:hint="eastAsia" w:ascii="仿宋" w:hAnsi="仿宋" w:eastAsia="仿宋" w:cs="仿宋"/>
          <w:spacing w:val="9"/>
          <w:sz w:val="31"/>
          <w:szCs w:val="31"/>
          <w:u w:val="single"/>
          <w:lang w:val="en-US" w:eastAsia="zh-CN"/>
        </w:rPr>
        <w:t>68.25</w:t>
      </w:r>
      <w:r>
        <w:rPr>
          <w:rFonts w:hint="eastAsia" w:ascii="仿宋" w:hAnsi="仿宋" w:eastAsia="仿宋" w:cs="仿宋"/>
          <w:spacing w:val="9"/>
          <w:sz w:val="31"/>
          <w:szCs w:val="31"/>
          <w:lang w:val="en-US" w:eastAsia="zh-CN"/>
        </w:rPr>
        <w:t>万元，完成年初预算的</w:t>
      </w:r>
      <w:r>
        <w:rPr>
          <w:rFonts w:hint="eastAsia" w:ascii="仿宋" w:hAnsi="仿宋" w:eastAsia="仿宋" w:cs="仿宋"/>
          <w:spacing w:val="9"/>
          <w:sz w:val="31"/>
          <w:szCs w:val="31"/>
          <w:u w:val="single"/>
          <w:lang w:val="en-US" w:eastAsia="zh-CN"/>
        </w:rPr>
        <w:t>92.6</w:t>
      </w:r>
      <w:r>
        <w:rPr>
          <w:rFonts w:hint="eastAsia" w:ascii="仿宋" w:hAnsi="仿宋" w:eastAsia="仿宋" w:cs="仿宋"/>
          <w:spacing w:val="9"/>
          <w:sz w:val="31"/>
          <w:szCs w:val="31"/>
          <w:lang w:val="en-US" w:eastAsia="zh-CN"/>
        </w:rPr>
        <w:t>%。决算数与年初预算数的差异原因：年中有人员变动，住房公积金实际缴费较年初预算减少。</w:t>
      </w:r>
    </w:p>
    <w:p w14:paraId="0057418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住房改革支出（款）提租补贴（项）。年初预算</w:t>
      </w:r>
      <w:r>
        <w:rPr>
          <w:rFonts w:hint="eastAsia" w:ascii="仿宋" w:hAnsi="仿宋" w:eastAsia="仿宋" w:cs="仿宋"/>
          <w:spacing w:val="9"/>
          <w:sz w:val="31"/>
          <w:szCs w:val="31"/>
          <w:u w:val="single"/>
          <w:lang w:val="en-US" w:eastAsia="zh-CN"/>
        </w:rPr>
        <w:t>4</w:t>
      </w:r>
      <w:r>
        <w:rPr>
          <w:rFonts w:hint="eastAsia" w:ascii="仿宋" w:hAnsi="仿宋" w:eastAsia="仿宋" w:cs="仿宋"/>
          <w:spacing w:val="9"/>
          <w:sz w:val="31"/>
          <w:szCs w:val="31"/>
          <w:lang w:val="en-US" w:eastAsia="zh-CN"/>
        </w:rPr>
        <w:t>万元，支出决算</w:t>
      </w:r>
      <w:r>
        <w:rPr>
          <w:rFonts w:hint="eastAsia" w:ascii="仿宋" w:hAnsi="仿宋" w:eastAsia="仿宋" w:cs="仿宋"/>
          <w:spacing w:val="9"/>
          <w:sz w:val="31"/>
          <w:szCs w:val="31"/>
          <w:u w:val="single"/>
          <w:lang w:val="en-US" w:eastAsia="zh-CN"/>
        </w:rPr>
        <w:t>4.00</w:t>
      </w:r>
      <w:r>
        <w:rPr>
          <w:rFonts w:hint="eastAsia" w:ascii="仿宋" w:hAnsi="仿宋" w:eastAsia="仿宋" w:cs="仿宋"/>
          <w:spacing w:val="9"/>
          <w:sz w:val="31"/>
          <w:szCs w:val="31"/>
          <w:lang w:val="en-US" w:eastAsia="zh-CN"/>
        </w:rPr>
        <w:t>万元，完成年初预算的</w:t>
      </w:r>
      <w:r>
        <w:rPr>
          <w:rFonts w:hint="eastAsia" w:ascii="仿宋" w:hAnsi="仿宋" w:eastAsia="仿宋" w:cs="仿宋"/>
          <w:spacing w:val="9"/>
          <w:sz w:val="31"/>
          <w:szCs w:val="31"/>
          <w:u w:val="single"/>
          <w:lang w:val="en-US" w:eastAsia="zh-CN"/>
        </w:rPr>
        <w:t>100</w:t>
      </w:r>
      <w:r>
        <w:rPr>
          <w:rFonts w:hint="eastAsia" w:ascii="仿宋" w:hAnsi="仿宋" w:eastAsia="仿宋" w:cs="仿宋"/>
          <w:spacing w:val="9"/>
          <w:sz w:val="31"/>
          <w:szCs w:val="31"/>
          <w:lang w:val="en-US" w:eastAsia="zh-CN"/>
        </w:rPr>
        <w:t>%。决算数与年初预算数无差异。</w:t>
      </w:r>
    </w:p>
    <w:p w14:paraId="5006A79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住房改革支出（款）</w:t>
      </w:r>
      <w:r>
        <w:rPr>
          <w:rFonts w:ascii="仿宋" w:hAnsi="仿宋" w:eastAsia="仿宋" w:cs="仿宋"/>
          <w:spacing w:val="9"/>
          <w:sz w:val="31"/>
          <w:szCs w:val="31"/>
        </w:rPr>
        <w:t>购房补贴</w:t>
      </w:r>
      <w:r>
        <w:rPr>
          <w:rFonts w:hint="eastAsia" w:ascii="仿宋" w:hAnsi="仿宋" w:eastAsia="仿宋" w:cs="仿宋"/>
          <w:spacing w:val="9"/>
          <w:sz w:val="31"/>
          <w:szCs w:val="31"/>
          <w:lang w:val="en-US" w:eastAsia="zh-CN"/>
        </w:rPr>
        <w:t>（项）。年初预算</w:t>
      </w:r>
      <w:r>
        <w:rPr>
          <w:rFonts w:hint="eastAsia" w:ascii="仿宋" w:hAnsi="仿宋" w:eastAsia="仿宋" w:cs="仿宋"/>
          <w:spacing w:val="9"/>
          <w:sz w:val="31"/>
          <w:szCs w:val="31"/>
          <w:u w:val="single"/>
          <w:lang w:eastAsia="zh-CN"/>
        </w:rPr>
        <w:t>20.39</w:t>
      </w:r>
      <w:r>
        <w:rPr>
          <w:rFonts w:hint="eastAsia" w:ascii="仿宋" w:hAnsi="仿宋" w:eastAsia="仿宋" w:cs="仿宋"/>
          <w:spacing w:val="9"/>
          <w:sz w:val="31"/>
          <w:szCs w:val="31"/>
          <w:lang w:val="en-US" w:eastAsia="zh-CN"/>
        </w:rPr>
        <w:t>万元，支出决算</w:t>
      </w:r>
      <w:r>
        <w:rPr>
          <w:rFonts w:hint="eastAsia" w:ascii="仿宋" w:hAnsi="仿宋" w:eastAsia="仿宋" w:cs="仿宋"/>
          <w:spacing w:val="9"/>
          <w:sz w:val="31"/>
          <w:szCs w:val="31"/>
          <w:u w:val="single"/>
          <w:lang w:val="en-US" w:eastAsia="zh-CN"/>
        </w:rPr>
        <w:t>26.31</w:t>
      </w:r>
      <w:r>
        <w:rPr>
          <w:rFonts w:hint="eastAsia" w:ascii="仿宋" w:hAnsi="仿宋" w:eastAsia="仿宋" w:cs="仿宋"/>
          <w:spacing w:val="9"/>
          <w:sz w:val="31"/>
          <w:szCs w:val="31"/>
          <w:lang w:val="en-US" w:eastAsia="zh-CN"/>
        </w:rPr>
        <w:t>万元，完成年初预算的</w:t>
      </w:r>
      <w:r>
        <w:rPr>
          <w:rFonts w:hint="eastAsia" w:ascii="仿宋" w:hAnsi="仿宋" w:eastAsia="仿宋" w:cs="仿宋"/>
          <w:spacing w:val="9"/>
          <w:sz w:val="31"/>
          <w:szCs w:val="31"/>
          <w:u w:val="single"/>
          <w:lang w:val="en-US" w:eastAsia="zh-CN"/>
        </w:rPr>
        <w:t>129</w:t>
      </w:r>
      <w:r>
        <w:rPr>
          <w:rFonts w:hint="eastAsia" w:ascii="仿宋" w:hAnsi="仿宋" w:eastAsia="仿宋" w:cs="仿宋"/>
          <w:spacing w:val="9"/>
          <w:sz w:val="31"/>
          <w:szCs w:val="31"/>
          <w:lang w:val="en-US" w:eastAsia="zh-CN"/>
        </w:rPr>
        <w:t>%。决算数与年初预算数的差异原因：2023年预算按照上年工资基数编制，年中有人员工资变动，相应人员工资补贴都有增长。</w:t>
      </w:r>
    </w:p>
    <w:p w14:paraId="2F50C6BC">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w:t>
      </w:r>
      <w:r>
        <w:rPr>
          <w:rFonts w:hint="eastAsia" w:ascii="楷体" w:hAnsi="楷体" w:eastAsia="楷体" w:cs="楷体"/>
          <w:spacing w:val="5"/>
          <w:sz w:val="31"/>
          <w:szCs w:val="31"/>
          <w:lang w:val="en-US" w:eastAsia="zh-CN"/>
        </w:rPr>
        <w:t>七</w:t>
      </w:r>
      <w:r>
        <w:rPr>
          <w:rFonts w:ascii="楷体" w:hAnsi="楷体" w:eastAsia="楷体" w:cs="楷体"/>
          <w:spacing w:val="5"/>
          <w:sz w:val="31"/>
          <w:szCs w:val="31"/>
        </w:rPr>
        <w:t>）灾害防治及应急管理（类）</w:t>
      </w:r>
    </w:p>
    <w:p w14:paraId="0F534B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灾害防治及应急管理支出类决算数为</w:t>
      </w:r>
      <w:r>
        <w:rPr>
          <w:rFonts w:hint="eastAsia" w:ascii="仿宋" w:hAnsi="仿宋" w:eastAsia="仿宋" w:cs="仿宋"/>
          <w:spacing w:val="9"/>
          <w:sz w:val="31"/>
          <w:szCs w:val="31"/>
          <w:u w:val="single"/>
          <w:lang w:val="en-US" w:eastAsia="zh-CN"/>
        </w:rPr>
        <w:t>217.00</w:t>
      </w:r>
      <w:r>
        <w:rPr>
          <w:rFonts w:hint="eastAsia" w:ascii="仿宋" w:hAnsi="仿宋" w:eastAsia="仿宋" w:cs="仿宋"/>
          <w:spacing w:val="9"/>
          <w:sz w:val="31"/>
          <w:szCs w:val="31"/>
          <w:lang w:val="en-US" w:eastAsia="zh-CN"/>
        </w:rPr>
        <w:t>万元，与年初预算相比减少</w:t>
      </w:r>
      <w:r>
        <w:rPr>
          <w:rFonts w:hint="eastAsia" w:ascii="仿宋" w:hAnsi="仿宋" w:eastAsia="仿宋" w:cs="仿宋"/>
          <w:spacing w:val="9"/>
          <w:sz w:val="31"/>
          <w:szCs w:val="31"/>
          <w:u w:val="single"/>
          <w:lang w:val="en-US" w:eastAsia="zh-CN"/>
        </w:rPr>
        <w:t>635.48</w:t>
      </w:r>
      <w:r>
        <w:rPr>
          <w:rFonts w:hint="eastAsia" w:ascii="仿宋" w:hAnsi="仿宋" w:eastAsia="仿宋" w:cs="仿宋"/>
          <w:spacing w:val="9"/>
          <w:sz w:val="31"/>
          <w:szCs w:val="31"/>
          <w:lang w:val="en-US" w:eastAsia="zh-CN"/>
        </w:rPr>
        <w:t>万元。其中：</w:t>
      </w:r>
    </w:p>
    <w:p w14:paraId="29CCA6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矿山安全（款）其他矿山安全支出（项）。年初预算</w:t>
      </w:r>
      <w:r>
        <w:rPr>
          <w:rFonts w:hint="eastAsia" w:ascii="仿宋" w:hAnsi="仿宋" w:eastAsia="仿宋" w:cs="仿宋"/>
          <w:spacing w:val="9"/>
          <w:sz w:val="31"/>
          <w:szCs w:val="31"/>
          <w:u w:val="single"/>
          <w:lang w:eastAsia="zh-CN"/>
        </w:rPr>
        <w:t>852.48</w:t>
      </w:r>
      <w:r>
        <w:rPr>
          <w:rFonts w:hint="eastAsia" w:ascii="仿宋" w:hAnsi="仿宋" w:eastAsia="仿宋" w:cs="仿宋"/>
          <w:spacing w:val="9"/>
          <w:sz w:val="31"/>
          <w:szCs w:val="31"/>
          <w:lang w:val="en-US" w:eastAsia="zh-CN"/>
        </w:rPr>
        <w:t>万元，支出决算</w:t>
      </w:r>
      <w:r>
        <w:rPr>
          <w:rFonts w:hint="eastAsia" w:ascii="仿宋" w:hAnsi="仿宋" w:eastAsia="仿宋" w:cs="仿宋"/>
          <w:spacing w:val="9"/>
          <w:sz w:val="31"/>
          <w:szCs w:val="31"/>
          <w:u w:val="single"/>
          <w:lang w:val="en-US" w:eastAsia="zh-CN"/>
        </w:rPr>
        <w:t>217.00</w:t>
      </w:r>
      <w:r>
        <w:rPr>
          <w:rFonts w:hint="eastAsia" w:ascii="仿宋" w:hAnsi="仿宋" w:eastAsia="仿宋" w:cs="仿宋"/>
          <w:spacing w:val="9"/>
          <w:sz w:val="31"/>
          <w:szCs w:val="31"/>
          <w:lang w:val="en-US" w:eastAsia="zh-CN"/>
        </w:rPr>
        <w:t>万元，完成年初预算的</w:t>
      </w:r>
      <w:r>
        <w:rPr>
          <w:rFonts w:hint="eastAsia" w:ascii="仿宋" w:hAnsi="仿宋" w:eastAsia="仿宋" w:cs="仿宋"/>
          <w:spacing w:val="9"/>
          <w:sz w:val="31"/>
          <w:szCs w:val="31"/>
          <w:u w:val="single"/>
          <w:lang w:val="en-US" w:eastAsia="zh-CN"/>
        </w:rPr>
        <w:t>25.5</w:t>
      </w:r>
      <w:r>
        <w:rPr>
          <w:rFonts w:hint="eastAsia" w:ascii="仿宋" w:hAnsi="仿宋" w:eastAsia="仿宋" w:cs="仿宋"/>
          <w:spacing w:val="9"/>
          <w:sz w:val="31"/>
          <w:szCs w:val="31"/>
          <w:lang w:val="en-US" w:eastAsia="zh-CN"/>
        </w:rPr>
        <w:t>%。决算数与年初预算数的差异原因：聘请第三方机构开展重点领域重点企业安全评估检查经费、全盟安全监管人员执法定期轮训费及安全生产宣传等部分项目年内未完工支付完，资金结转至下年。</w:t>
      </w:r>
    </w:p>
    <w:p w14:paraId="4F16164A">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firstLine="640" w:firstLineChars="200"/>
        <w:jc w:val="both"/>
        <w:textAlignment w:val="auto"/>
        <w:rPr>
          <w:rFonts w:hint="eastAsia" w:ascii="楷体" w:hAnsi="楷体" w:eastAsia="楷体" w:cs="楷体"/>
          <w:spacing w:val="5"/>
          <w:kern w:val="2"/>
          <w:sz w:val="31"/>
          <w:szCs w:val="31"/>
          <w:lang w:val="en-US" w:eastAsia="zh-CN" w:bidi="ar-SA"/>
        </w:rPr>
      </w:pPr>
      <w:r>
        <w:rPr>
          <w:rFonts w:hint="eastAsia" w:ascii="楷体" w:hAnsi="楷体" w:eastAsia="楷体" w:cs="楷体"/>
          <w:spacing w:val="5"/>
          <w:kern w:val="2"/>
          <w:sz w:val="31"/>
          <w:szCs w:val="31"/>
          <w:lang w:val="en-US" w:eastAsia="zh-CN" w:bidi="ar-SA"/>
        </w:rPr>
        <w:t>（八）其他支出（类）</w:t>
      </w:r>
    </w:p>
    <w:p w14:paraId="316116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其他支出类决算数为</w:t>
      </w:r>
      <w:r>
        <w:rPr>
          <w:rFonts w:hint="eastAsia" w:ascii="仿宋" w:hAnsi="仿宋" w:eastAsia="仿宋" w:cs="仿宋"/>
          <w:spacing w:val="9"/>
          <w:sz w:val="31"/>
          <w:szCs w:val="31"/>
          <w:u w:val="single"/>
          <w:lang w:val="en-US" w:eastAsia="zh-CN"/>
        </w:rPr>
        <w:t>6.75</w:t>
      </w:r>
      <w:r>
        <w:rPr>
          <w:rFonts w:hint="eastAsia" w:ascii="仿宋" w:hAnsi="仿宋" w:eastAsia="仿宋" w:cs="仿宋"/>
          <w:spacing w:val="9"/>
          <w:sz w:val="31"/>
          <w:szCs w:val="31"/>
          <w:lang w:val="en-US" w:eastAsia="zh-CN"/>
        </w:rPr>
        <w:t>万元，与年初预算相比减少</w:t>
      </w:r>
      <w:r>
        <w:rPr>
          <w:rFonts w:hint="eastAsia" w:ascii="仿宋" w:hAnsi="仿宋" w:eastAsia="仿宋" w:cs="仿宋"/>
          <w:spacing w:val="9"/>
          <w:sz w:val="31"/>
          <w:szCs w:val="31"/>
          <w:u w:val="single"/>
          <w:lang w:val="en-US" w:eastAsia="zh-CN"/>
        </w:rPr>
        <w:t>23.25</w:t>
      </w:r>
      <w:r>
        <w:rPr>
          <w:rFonts w:hint="eastAsia" w:ascii="仿宋" w:hAnsi="仿宋" w:eastAsia="仿宋" w:cs="仿宋"/>
          <w:spacing w:val="9"/>
          <w:sz w:val="31"/>
          <w:szCs w:val="31"/>
          <w:lang w:val="en-US" w:eastAsia="zh-CN"/>
        </w:rPr>
        <w:t>万元。其中：</w:t>
      </w:r>
    </w:p>
    <w:p w14:paraId="4390AA8A">
      <w:pPr>
        <w:keepNext w:val="0"/>
        <w:keepLines w:val="0"/>
        <w:pageBreakBefore w:val="0"/>
        <w:kinsoku/>
        <w:wordWrap/>
        <w:overflowPunct/>
        <w:topLinePunct w:val="0"/>
        <w:autoSpaceDE/>
        <w:autoSpaceDN/>
        <w:bidi w:val="0"/>
        <w:adjustRightInd/>
        <w:snapToGrid/>
        <w:spacing w:line="360" w:lineRule="auto"/>
        <w:ind w:left="0" w:leftChars="0" w:right="0" w:firstLine="640" w:firstLineChars="200"/>
        <w:jc w:val="both"/>
        <w:textAlignment w:val="auto"/>
        <w:rPr>
          <w:rFonts w:hint="eastAsia" w:ascii="仿宋" w:hAnsi="仿宋" w:eastAsia="仿宋" w:cs="仿宋"/>
          <w:spacing w:val="9"/>
          <w:sz w:val="31"/>
          <w:szCs w:val="31"/>
          <w:lang w:val="en-US" w:eastAsia="zh-CN"/>
        </w:rPr>
      </w:pPr>
      <w:r>
        <w:rPr>
          <w:rFonts w:ascii="仿宋" w:hAnsi="仿宋" w:eastAsia="仿宋" w:cs="仿宋"/>
          <w:spacing w:val="5"/>
          <w:sz w:val="31"/>
          <w:szCs w:val="31"/>
        </w:rPr>
        <w:t>其他支出（款）其他支出（项）。年初预算</w:t>
      </w:r>
      <w:r>
        <w:rPr>
          <w:rFonts w:ascii="Times New Roman" w:hAnsi="Times New Roman" w:eastAsia="Times New Roman" w:cs="Times New Roman"/>
          <w:spacing w:val="5"/>
          <w:sz w:val="31"/>
          <w:szCs w:val="31"/>
          <w:u w:val="single" w:color="auto"/>
        </w:rPr>
        <w:t>30</w:t>
      </w:r>
      <w:r>
        <w:rPr>
          <w:rFonts w:ascii="仿宋" w:hAnsi="仿宋" w:eastAsia="仿宋" w:cs="仿宋"/>
          <w:spacing w:val="5"/>
          <w:sz w:val="31"/>
          <w:szCs w:val="31"/>
        </w:rPr>
        <w:t>万元，</w:t>
      </w:r>
      <w:r>
        <w:rPr>
          <w:rFonts w:hint="eastAsia" w:ascii="仿宋" w:hAnsi="仿宋" w:eastAsia="仿宋" w:cs="仿宋"/>
          <w:spacing w:val="9"/>
          <w:sz w:val="31"/>
          <w:szCs w:val="31"/>
          <w:lang w:val="en-US" w:eastAsia="zh-CN"/>
        </w:rPr>
        <w:t>支出决算</w:t>
      </w:r>
      <w:r>
        <w:rPr>
          <w:rFonts w:hint="eastAsia" w:ascii="仿宋" w:hAnsi="仿宋" w:eastAsia="仿宋" w:cs="仿宋"/>
          <w:spacing w:val="9"/>
          <w:sz w:val="31"/>
          <w:szCs w:val="31"/>
          <w:u w:val="single"/>
          <w:lang w:val="en-US" w:eastAsia="zh-CN"/>
        </w:rPr>
        <w:t>6.75</w:t>
      </w:r>
      <w:r>
        <w:rPr>
          <w:rFonts w:hint="eastAsia" w:ascii="仿宋" w:hAnsi="仿宋" w:eastAsia="仿宋" w:cs="仿宋"/>
          <w:spacing w:val="9"/>
          <w:sz w:val="31"/>
          <w:szCs w:val="31"/>
          <w:lang w:val="en-US" w:eastAsia="zh-CN"/>
        </w:rPr>
        <w:t>万元，完成年初预算的</w:t>
      </w:r>
      <w:r>
        <w:rPr>
          <w:rFonts w:hint="eastAsia" w:ascii="仿宋" w:hAnsi="仿宋" w:eastAsia="仿宋" w:cs="仿宋"/>
          <w:spacing w:val="9"/>
          <w:sz w:val="31"/>
          <w:szCs w:val="31"/>
          <w:u w:val="single"/>
          <w:lang w:val="en-US" w:eastAsia="zh-CN"/>
        </w:rPr>
        <w:t>22.5</w:t>
      </w:r>
      <w:r>
        <w:rPr>
          <w:rFonts w:hint="eastAsia" w:ascii="仿宋" w:hAnsi="仿宋" w:eastAsia="仿宋" w:cs="仿宋"/>
          <w:spacing w:val="9"/>
          <w:sz w:val="31"/>
          <w:szCs w:val="31"/>
          <w:lang w:val="en-US" w:eastAsia="zh-CN"/>
        </w:rPr>
        <w:t>%。决算数与年初预算数的差异原因：</w:t>
      </w:r>
      <w:r>
        <w:rPr>
          <w:rFonts w:ascii="仿宋" w:hAnsi="仿宋" w:eastAsia="仿宋" w:cs="仿宋"/>
          <w:spacing w:val="5"/>
          <w:sz w:val="31"/>
          <w:szCs w:val="31"/>
        </w:rPr>
        <w:t>上年结转专项资金新能源产业链招商经费</w:t>
      </w:r>
      <w:r>
        <w:rPr>
          <w:rFonts w:hint="eastAsia" w:ascii="仿宋" w:hAnsi="仿宋" w:eastAsia="仿宋" w:cs="仿宋"/>
          <w:spacing w:val="9"/>
          <w:sz w:val="31"/>
          <w:szCs w:val="31"/>
          <w:lang w:val="en-US" w:eastAsia="zh-CN"/>
        </w:rPr>
        <w:t>年内未支付完，资金结转至下年。</w:t>
      </w:r>
    </w:p>
    <w:p w14:paraId="36EAB725">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黑体" w:hAnsi="黑体" w:eastAsia="黑体" w:cs="黑体"/>
          <w:b w:val="0"/>
          <w:bCs w:val="0"/>
          <w:kern w:val="0"/>
          <w:sz w:val="31"/>
          <w:szCs w:val="31"/>
        </w:rPr>
      </w:pPr>
      <w:r>
        <w:rPr>
          <w:rFonts w:ascii="黑体" w:hAnsi="黑体" w:eastAsia="黑体" w:cs="黑体"/>
          <w:b w:val="0"/>
          <w:bCs w:val="0"/>
          <w:kern w:val="0"/>
          <w:sz w:val="31"/>
          <w:szCs w:val="31"/>
        </w:rPr>
        <w:t>六、一般公共预算财政拨款基本支出决算情况说明</w:t>
      </w:r>
    </w:p>
    <w:p w14:paraId="3B2FEB30">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jc w:val="both"/>
        <w:textAlignment w:val="auto"/>
        <w:rPr>
          <w:rFonts w:ascii="仿宋" w:hAnsi="仿宋" w:eastAsia="仿宋" w:cs="仿宋"/>
          <w:spacing w:val="5"/>
          <w:sz w:val="31"/>
          <w:szCs w:val="31"/>
        </w:rPr>
      </w:pPr>
      <w:r>
        <w:rPr>
          <w:rFonts w:ascii="仿宋" w:hAnsi="仿宋" w:eastAsia="仿宋" w:cs="仿宋"/>
          <w:spacing w:val="5"/>
          <w:sz w:val="31"/>
          <w:szCs w:val="31"/>
        </w:rPr>
        <w:t>锡林郭勒盟能源局（部门）2023年度一般公共预算财政拨款基本支出决算</w:t>
      </w:r>
      <w:r>
        <w:rPr>
          <w:rFonts w:ascii="仿宋" w:hAnsi="仿宋" w:eastAsia="仿宋" w:cs="仿宋"/>
          <w:spacing w:val="5"/>
          <w:sz w:val="31"/>
          <w:szCs w:val="31"/>
          <w:u w:val="single"/>
        </w:rPr>
        <w:t>1,038.59</w:t>
      </w:r>
      <w:r>
        <w:rPr>
          <w:rFonts w:ascii="仿宋" w:hAnsi="仿宋" w:eastAsia="仿宋" w:cs="仿宋"/>
          <w:spacing w:val="5"/>
          <w:sz w:val="31"/>
          <w:szCs w:val="31"/>
        </w:rPr>
        <w:t>万元，其中：</w:t>
      </w:r>
    </w:p>
    <w:p w14:paraId="713930B6">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hint="default" w:ascii="Times New Roman" w:hAnsi="Times New Roman" w:eastAsia="仿宋" w:cs="Times New Roman"/>
          <w:kern w:val="0"/>
          <w:sz w:val="24"/>
          <w:lang w:val="en-US" w:eastAsia="zh-CN"/>
        </w:rPr>
      </w:pPr>
      <w:r>
        <w:rPr>
          <w:rFonts w:ascii="楷体" w:hAnsi="楷体" w:eastAsia="楷体" w:cs="楷体"/>
          <w:spacing w:val="5"/>
          <w:sz w:val="31"/>
          <w:szCs w:val="31"/>
        </w:rPr>
        <w:t>（一）人员经费</w:t>
      </w:r>
      <w:r>
        <w:rPr>
          <w:rFonts w:ascii="楷体" w:hAnsi="楷体" w:eastAsia="楷体" w:cs="楷体"/>
          <w:spacing w:val="5"/>
          <w:sz w:val="31"/>
          <w:szCs w:val="31"/>
          <w:u w:val="single"/>
        </w:rPr>
        <w:t>903.50</w:t>
      </w:r>
      <w:r>
        <w:rPr>
          <w:rFonts w:ascii="楷体" w:hAnsi="楷体" w:eastAsia="楷体" w:cs="楷体"/>
          <w:spacing w:val="5"/>
          <w:sz w:val="31"/>
          <w:szCs w:val="31"/>
        </w:rPr>
        <w:t>万元。</w:t>
      </w:r>
      <w:r>
        <w:rPr>
          <w:rFonts w:ascii="仿宋" w:hAnsi="仿宋" w:eastAsia="仿宋" w:cs="仿宋"/>
          <w:spacing w:val="5"/>
          <w:sz w:val="31"/>
          <w:szCs w:val="31"/>
        </w:rPr>
        <w:t>主要包括：基本工资</w:t>
      </w:r>
      <w:r>
        <w:rPr>
          <w:rFonts w:hint="eastAsia" w:ascii="仿宋" w:hAnsi="仿宋" w:eastAsia="仿宋" w:cs="仿宋"/>
          <w:spacing w:val="5"/>
          <w:sz w:val="31"/>
          <w:szCs w:val="31"/>
        </w:rPr>
        <w:t>217.25</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、津贴补贴</w:t>
      </w:r>
      <w:r>
        <w:rPr>
          <w:rFonts w:hint="eastAsia" w:ascii="仿宋" w:hAnsi="仿宋" w:eastAsia="仿宋" w:cs="仿宋"/>
          <w:spacing w:val="5"/>
          <w:sz w:val="31"/>
          <w:szCs w:val="31"/>
        </w:rPr>
        <w:t>173.99</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、奖金</w:t>
      </w:r>
      <w:r>
        <w:rPr>
          <w:rFonts w:hint="eastAsia" w:ascii="仿宋" w:hAnsi="仿宋" w:eastAsia="仿宋" w:cs="仿宋"/>
          <w:spacing w:val="5"/>
          <w:sz w:val="31"/>
          <w:szCs w:val="31"/>
        </w:rPr>
        <w:t>61.47</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rPr>
        <w:t>绩效工资118.98</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、机关事业单位基本养老保险缴费72.18</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、职业年金缴费5.75</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、职工基本医疗保险缴费27.90</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、公务员医疗补助缴费4.25</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、其他社会保障缴费10.65</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、住房公积金68.25</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、其他工资福利支出102.19</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、退休费2.61</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、抚恤金33.74</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、生活补助</w:t>
      </w:r>
      <w:r>
        <w:rPr>
          <w:rFonts w:hint="eastAsia" w:ascii="仿宋" w:hAnsi="仿宋" w:eastAsia="仿宋" w:cs="仿宋"/>
          <w:spacing w:val="5"/>
          <w:sz w:val="31"/>
          <w:szCs w:val="31"/>
          <w:lang w:val="en-US" w:eastAsia="zh-CN"/>
        </w:rPr>
        <w:t>2万元、医疗费补助2.28万元等。</w:t>
      </w:r>
    </w:p>
    <w:p w14:paraId="2655FD81">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ascii="Times New Roman" w:hAnsi="Times New Roman" w:eastAsia="Times New Roman" w:cs="Times New Roman"/>
          <w:kern w:val="0"/>
          <w:sz w:val="24"/>
        </w:rPr>
      </w:pPr>
      <w:r>
        <w:rPr>
          <w:rFonts w:ascii="楷体" w:hAnsi="楷体" w:eastAsia="楷体" w:cs="楷体"/>
          <w:spacing w:val="5"/>
          <w:sz w:val="31"/>
          <w:szCs w:val="31"/>
        </w:rPr>
        <w:t>（二）公用经费</w:t>
      </w:r>
      <w:r>
        <w:rPr>
          <w:rFonts w:ascii="楷体" w:hAnsi="楷体" w:eastAsia="楷体" w:cs="楷体"/>
          <w:spacing w:val="5"/>
          <w:sz w:val="31"/>
          <w:szCs w:val="31"/>
          <w:u w:val="single"/>
        </w:rPr>
        <w:t>135.09</w:t>
      </w:r>
      <w:r>
        <w:rPr>
          <w:rFonts w:ascii="楷体" w:hAnsi="楷体" w:eastAsia="楷体" w:cs="楷体"/>
          <w:spacing w:val="5"/>
          <w:sz w:val="31"/>
          <w:szCs w:val="31"/>
        </w:rPr>
        <w:t>万元。</w:t>
      </w:r>
      <w:r>
        <w:rPr>
          <w:rFonts w:ascii="仿宋" w:hAnsi="仿宋" w:eastAsia="仿宋" w:cs="仿宋"/>
          <w:spacing w:val="5"/>
          <w:sz w:val="31"/>
          <w:szCs w:val="31"/>
        </w:rPr>
        <w:t>主要包括：办公费</w:t>
      </w:r>
      <w:r>
        <w:rPr>
          <w:rFonts w:hint="eastAsia" w:ascii="仿宋" w:hAnsi="仿宋" w:eastAsia="仿宋" w:cs="仿宋"/>
          <w:spacing w:val="5"/>
          <w:sz w:val="31"/>
          <w:szCs w:val="31"/>
        </w:rPr>
        <w:t>2.25</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、邮电费</w:t>
      </w:r>
      <w:r>
        <w:rPr>
          <w:rFonts w:hint="eastAsia" w:ascii="仿宋" w:hAnsi="仿宋" w:eastAsia="仿宋" w:cs="仿宋"/>
          <w:spacing w:val="5"/>
          <w:sz w:val="31"/>
          <w:szCs w:val="31"/>
        </w:rPr>
        <w:t>0.47</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、物业管理费</w:t>
      </w:r>
      <w:r>
        <w:rPr>
          <w:rFonts w:hint="eastAsia" w:ascii="仿宋" w:hAnsi="仿宋" w:eastAsia="仿宋" w:cs="仿宋"/>
          <w:spacing w:val="5"/>
          <w:sz w:val="31"/>
          <w:szCs w:val="31"/>
        </w:rPr>
        <w:t>10.00</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、维修（护）费</w:t>
      </w:r>
      <w:r>
        <w:rPr>
          <w:rFonts w:hint="eastAsia" w:ascii="仿宋" w:hAnsi="仿宋" w:eastAsia="仿宋" w:cs="仿宋"/>
          <w:spacing w:val="5"/>
          <w:sz w:val="31"/>
          <w:szCs w:val="31"/>
        </w:rPr>
        <w:t>0.08</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、租赁费</w:t>
      </w:r>
      <w:r>
        <w:rPr>
          <w:rFonts w:hint="eastAsia" w:ascii="仿宋" w:hAnsi="仿宋" w:eastAsia="仿宋" w:cs="仿宋"/>
          <w:spacing w:val="5"/>
          <w:sz w:val="31"/>
          <w:szCs w:val="31"/>
        </w:rPr>
        <w:t>72.20</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、公务接待费</w:t>
      </w:r>
      <w:r>
        <w:rPr>
          <w:rFonts w:hint="eastAsia" w:ascii="仿宋" w:hAnsi="仿宋" w:eastAsia="仿宋" w:cs="仿宋"/>
          <w:spacing w:val="5"/>
          <w:sz w:val="31"/>
          <w:szCs w:val="31"/>
        </w:rPr>
        <w:t>1.02</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、工会经费</w:t>
      </w:r>
      <w:r>
        <w:rPr>
          <w:rFonts w:hint="eastAsia" w:ascii="仿宋" w:hAnsi="仿宋" w:eastAsia="仿宋" w:cs="仿宋"/>
          <w:spacing w:val="5"/>
          <w:sz w:val="31"/>
          <w:szCs w:val="31"/>
        </w:rPr>
        <w:t>12.17</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、福利费</w:t>
      </w:r>
      <w:r>
        <w:rPr>
          <w:rFonts w:hint="eastAsia" w:ascii="仿宋" w:hAnsi="仿宋" w:eastAsia="仿宋" w:cs="仿宋"/>
          <w:spacing w:val="5"/>
          <w:sz w:val="31"/>
          <w:szCs w:val="31"/>
        </w:rPr>
        <w:t>10.31</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、公务用车运行维护费</w:t>
      </w:r>
      <w:r>
        <w:rPr>
          <w:rFonts w:hint="eastAsia" w:ascii="仿宋" w:hAnsi="仿宋" w:eastAsia="仿宋" w:cs="仿宋"/>
          <w:spacing w:val="5"/>
          <w:sz w:val="31"/>
          <w:szCs w:val="31"/>
        </w:rPr>
        <w:t>10.49</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、其他交通费用</w:t>
      </w:r>
      <w:r>
        <w:rPr>
          <w:rFonts w:hint="eastAsia" w:ascii="仿宋" w:hAnsi="仿宋" w:eastAsia="仿宋" w:cs="仿宋"/>
          <w:spacing w:val="5"/>
          <w:sz w:val="31"/>
          <w:szCs w:val="31"/>
        </w:rPr>
        <w:t>15.63</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、其他商品和服务支出</w:t>
      </w:r>
      <w:r>
        <w:rPr>
          <w:rFonts w:hint="eastAsia" w:ascii="仿宋" w:hAnsi="仿宋" w:eastAsia="仿宋" w:cs="仿宋"/>
          <w:spacing w:val="5"/>
          <w:sz w:val="31"/>
          <w:szCs w:val="31"/>
        </w:rPr>
        <w:t>0.47</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等。</w:t>
      </w:r>
    </w:p>
    <w:p w14:paraId="699E4303">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Times New Roman" w:hAnsi="Times New Roman" w:eastAsia="Times New Roman" w:cs="Times New Roman"/>
          <w:b w:val="0"/>
          <w:bCs w:val="0"/>
          <w:kern w:val="0"/>
          <w:sz w:val="24"/>
        </w:rPr>
      </w:pPr>
      <w:r>
        <w:rPr>
          <w:rFonts w:ascii="黑体" w:hAnsi="黑体" w:eastAsia="黑体" w:cs="黑体"/>
          <w:b w:val="0"/>
          <w:bCs w:val="0"/>
          <w:kern w:val="0"/>
          <w:sz w:val="31"/>
          <w:szCs w:val="31"/>
        </w:rPr>
        <w:t>七、一般公共预算财政拨款项目支出决算情况说明</w:t>
      </w:r>
    </w:p>
    <w:p w14:paraId="09834F90">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spacing w:val="5"/>
          <w:sz w:val="31"/>
          <w:szCs w:val="31"/>
        </w:rPr>
      </w:pPr>
      <w:r>
        <w:rPr>
          <w:rFonts w:hint="eastAsia" w:ascii="仿宋" w:hAnsi="仿宋" w:eastAsia="仿宋" w:cs="仿宋"/>
          <w:spacing w:val="5"/>
          <w:sz w:val="31"/>
          <w:szCs w:val="31"/>
        </w:rPr>
        <w:t>锡林郭勒盟能源局（部门）2023年度一般公共预算财政拨款项目支出决算</w:t>
      </w:r>
      <w:r>
        <w:rPr>
          <w:rFonts w:hint="eastAsia" w:ascii="仿宋" w:hAnsi="仿宋" w:eastAsia="仿宋" w:cs="仿宋"/>
          <w:spacing w:val="5"/>
          <w:sz w:val="31"/>
          <w:szCs w:val="31"/>
          <w:u w:val="single"/>
        </w:rPr>
        <w:t>523.82</w:t>
      </w:r>
      <w:r>
        <w:rPr>
          <w:rFonts w:hint="eastAsia" w:ascii="仿宋" w:hAnsi="仿宋" w:eastAsia="仿宋" w:cs="仿宋"/>
          <w:spacing w:val="5"/>
          <w:sz w:val="31"/>
          <w:szCs w:val="31"/>
        </w:rPr>
        <w:t>万元，其中：</w:t>
      </w:r>
    </w:p>
    <w:p w14:paraId="7204B954">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hint="eastAsia" w:ascii="楷体" w:hAnsi="楷体" w:eastAsia="楷体" w:cs="楷体"/>
          <w:spacing w:val="5"/>
          <w:sz w:val="31"/>
          <w:szCs w:val="31"/>
          <w:lang w:eastAsia="zh-CN"/>
        </w:rPr>
        <w:t>（</w:t>
      </w:r>
      <w:r>
        <w:rPr>
          <w:rFonts w:hint="eastAsia" w:ascii="楷体" w:hAnsi="楷体" w:eastAsia="楷体" w:cs="楷体"/>
          <w:spacing w:val="5"/>
          <w:sz w:val="31"/>
          <w:szCs w:val="31"/>
          <w:lang w:val="en-US" w:eastAsia="zh-CN"/>
        </w:rPr>
        <w:t>一</w:t>
      </w:r>
      <w:r>
        <w:rPr>
          <w:rFonts w:hint="eastAsia" w:ascii="楷体" w:hAnsi="楷体" w:eastAsia="楷体" w:cs="楷体"/>
          <w:spacing w:val="5"/>
          <w:sz w:val="31"/>
          <w:szCs w:val="31"/>
          <w:lang w:eastAsia="zh-CN"/>
        </w:rPr>
        <w:t>）</w:t>
      </w:r>
      <w:r>
        <w:rPr>
          <w:rFonts w:ascii="楷体" w:hAnsi="楷体" w:eastAsia="楷体" w:cs="楷体"/>
          <w:spacing w:val="5"/>
          <w:sz w:val="31"/>
          <w:szCs w:val="31"/>
        </w:rPr>
        <w:t>工资福利支出</w:t>
      </w:r>
      <w:r>
        <w:rPr>
          <w:rFonts w:ascii="楷体" w:hAnsi="楷体" w:eastAsia="楷体" w:cs="楷体"/>
          <w:spacing w:val="5"/>
          <w:sz w:val="31"/>
          <w:szCs w:val="31"/>
          <w:u w:val="single"/>
        </w:rPr>
        <w:t>0.00</w:t>
      </w:r>
      <w:r>
        <w:rPr>
          <w:rFonts w:ascii="楷体" w:hAnsi="楷体" w:eastAsia="楷体" w:cs="楷体"/>
          <w:spacing w:val="5"/>
          <w:sz w:val="31"/>
          <w:szCs w:val="31"/>
        </w:rPr>
        <w:t>万元。</w:t>
      </w:r>
    </w:p>
    <w:p w14:paraId="0BBF108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仿宋"/>
          <w:spacing w:val="5"/>
          <w:sz w:val="31"/>
          <w:szCs w:val="31"/>
        </w:rPr>
      </w:pPr>
      <w:r>
        <w:rPr>
          <w:rFonts w:hint="eastAsia" w:ascii="楷体" w:hAnsi="楷体" w:eastAsia="楷体" w:cs="楷体"/>
          <w:spacing w:val="5"/>
          <w:sz w:val="31"/>
          <w:szCs w:val="31"/>
          <w:lang w:eastAsia="zh-CN"/>
        </w:rPr>
        <w:t>（二）商品和服务支出</w:t>
      </w:r>
      <w:r>
        <w:rPr>
          <w:rFonts w:hint="eastAsia" w:ascii="楷体" w:hAnsi="楷体" w:eastAsia="楷体" w:cs="楷体"/>
          <w:spacing w:val="5"/>
          <w:sz w:val="31"/>
          <w:szCs w:val="31"/>
          <w:u w:val="single"/>
          <w:lang w:eastAsia="zh-CN"/>
        </w:rPr>
        <w:t>516.23</w:t>
      </w:r>
      <w:r>
        <w:rPr>
          <w:rFonts w:hint="eastAsia" w:ascii="楷体" w:hAnsi="楷体" w:eastAsia="楷体" w:cs="楷体"/>
          <w:spacing w:val="5"/>
          <w:sz w:val="31"/>
          <w:szCs w:val="31"/>
          <w:lang w:eastAsia="zh-CN"/>
        </w:rPr>
        <w:t>万元。</w:t>
      </w:r>
      <w:r>
        <w:rPr>
          <w:rFonts w:ascii="仿宋" w:hAnsi="仿宋" w:eastAsia="仿宋" w:cs="仿宋"/>
          <w:spacing w:val="5"/>
          <w:sz w:val="31"/>
          <w:szCs w:val="31"/>
        </w:rPr>
        <w:t>主要包括：办公费</w:t>
      </w:r>
      <w:r>
        <w:rPr>
          <w:rFonts w:hint="eastAsia" w:ascii="仿宋" w:hAnsi="仿宋" w:eastAsia="仿宋" w:cs="仿宋"/>
          <w:spacing w:val="5"/>
          <w:sz w:val="31"/>
          <w:szCs w:val="31"/>
        </w:rPr>
        <w:t>23.93</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、咨询费</w:t>
      </w:r>
      <w:r>
        <w:rPr>
          <w:rFonts w:hint="eastAsia" w:ascii="仿宋" w:hAnsi="仿宋" w:eastAsia="仿宋" w:cs="仿宋"/>
          <w:spacing w:val="5"/>
          <w:sz w:val="31"/>
          <w:szCs w:val="31"/>
        </w:rPr>
        <w:t>44.14</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、邮电费</w:t>
      </w:r>
      <w:r>
        <w:rPr>
          <w:rFonts w:hint="eastAsia" w:ascii="仿宋" w:hAnsi="仿宋" w:eastAsia="仿宋" w:cs="仿宋"/>
          <w:spacing w:val="5"/>
          <w:sz w:val="31"/>
          <w:szCs w:val="31"/>
        </w:rPr>
        <w:t>1.03</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、差旅费</w:t>
      </w:r>
      <w:r>
        <w:rPr>
          <w:rFonts w:hint="eastAsia" w:ascii="仿宋" w:hAnsi="仿宋" w:eastAsia="仿宋" w:cs="仿宋"/>
          <w:spacing w:val="5"/>
          <w:sz w:val="31"/>
          <w:szCs w:val="31"/>
        </w:rPr>
        <w:t>112.94</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、维修（护）费</w:t>
      </w:r>
      <w:r>
        <w:rPr>
          <w:rFonts w:hint="eastAsia" w:ascii="仿宋" w:hAnsi="仿宋" w:eastAsia="仿宋" w:cs="仿宋"/>
          <w:spacing w:val="5"/>
          <w:sz w:val="31"/>
          <w:szCs w:val="31"/>
        </w:rPr>
        <w:t>1.00</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、会议费</w:t>
      </w:r>
      <w:r>
        <w:rPr>
          <w:rFonts w:hint="eastAsia" w:ascii="仿宋" w:hAnsi="仿宋" w:eastAsia="仿宋" w:cs="仿宋"/>
          <w:spacing w:val="5"/>
          <w:sz w:val="31"/>
          <w:szCs w:val="31"/>
        </w:rPr>
        <w:t>0.20</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、公务接待费</w:t>
      </w:r>
      <w:r>
        <w:rPr>
          <w:rFonts w:hint="eastAsia" w:ascii="仿宋" w:hAnsi="仿宋" w:eastAsia="仿宋" w:cs="仿宋"/>
          <w:spacing w:val="5"/>
          <w:sz w:val="31"/>
          <w:szCs w:val="31"/>
        </w:rPr>
        <w:t>0.79</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w:t>
      </w:r>
      <w:r>
        <w:rPr>
          <w:rFonts w:hint="eastAsia" w:ascii="仿宋" w:hAnsi="仿宋" w:eastAsia="仿宋" w:cs="仿宋"/>
          <w:spacing w:val="5"/>
          <w:sz w:val="31"/>
          <w:szCs w:val="31"/>
        </w:rPr>
        <w:t>劳务费48.35</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、委托业务费193.52</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、其他交通费用33.65</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、其他商品和服务支出56.68</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等。</w:t>
      </w:r>
    </w:p>
    <w:p w14:paraId="5584825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lang w:eastAsia="zh-CN"/>
        </w:rPr>
      </w:pPr>
      <w:r>
        <w:rPr>
          <w:rFonts w:hint="eastAsia" w:ascii="楷体" w:hAnsi="楷体" w:eastAsia="楷体" w:cs="楷体"/>
          <w:spacing w:val="5"/>
          <w:sz w:val="31"/>
          <w:szCs w:val="31"/>
          <w:lang w:eastAsia="zh-CN"/>
        </w:rPr>
        <w:t>（</w:t>
      </w:r>
      <w:r>
        <w:rPr>
          <w:rFonts w:hint="eastAsia" w:ascii="楷体" w:hAnsi="楷体" w:eastAsia="楷体" w:cs="楷体"/>
          <w:spacing w:val="5"/>
          <w:sz w:val="31"/>
          <w:szCs w:val="31"/>
          <w:lang w:val="en-US" w:eastAsia="zh-CN"/>
        </w:rPr>
        <w:t>三</w:t>
      </w:r>
      <w:r>
        <w:rPr>
          <w:rFonts w:hint="eastAsia" w:ascii="楷体" w:hAnsi="楷体" w:eastAsia="楷体" w:cs="楷体"/>
          <w:spacing w:val="5"/>
          <w:sz w:val="31"/>
          <w:szCs w:val="31"/>
          <w:lang w:eastAsia="zh-CN"/>
        </w:rPr>
        <w:t>）对个人和家庭的补助</w:t>
      </w:r>
      <w:r>
        <w:rPr>
          <w:rFonts w:hint="eastAsia" w:ascii="楷体" w:hAnsi="楷体" w:eastAsia="楷体" w:cs="楷体"/>
          <w:spacing w:val="5"/>
          <w:sz w:val="31"/>
          <w:szCs w:val="31"/>
          <w:u w:val="single"/>
          <w:lang w:val="en-US" w:eastAsia="zh-CN"/>
        </w:rPr>
        <w:t>0.00</w:t>
      </w:r>
      <w:r>
        <w:rPr>
          <w:rFonts w:hint="eastAsia" w:ascii="楷体" w:hAnsi="楷体" w:eastAsia="楷体" w:cs="楷体"/>
          <w:spacing w:val="5"/>
          <w:sz w:val="31"/>
          <w:szCs w:val="31"/>
          <w:lang w:eastAsia="zh-CN"/>
        </w:rPr>
        <w:t>万元。</w:t>
      </w:r>
    </w:p>
    <w:p w14:paraId="6DCAC10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lang w:val="en-US" w:eastAsia="zh-CN"/>
        </w:rPr>
      </w:pPr>
      <w:r>
        <w:rPr>
          <w:rFonts w:hint="eastAsia" w:ascii="楷体" w:hAnsi="楷体" w:eastAsia="楷体" w:cs="楷体"/>
          <w:spacing w:val="5"/>
          <w:sz w:val="31"/>
          <w:szCs w:val="31"/>
          <w:lang w:eastAsia="zh-CN"/>
        </w:rPr>
        <w:t>（</w:t>
      </w:r>
      <w:r>
        <w:rPr>
          <w:rFonts w:hint="eastAsia" w:ascii="楷体" w:hAnsi="楷体" w:eastAsia="楷体" w:cs="楷体"/>
          <w:spacing w:val="5"/>
          <w:sz w:val="31"/>
          <w:szCs w:val="31"/>
          <w:lang w:val="en-US" w:eastAsia="zh-CN"/>
        </w:rPr>
        <w:t>四</w:t>
      </w:r>
      <w:r>
        <w:rPr>
          <w:rFonts w:hint="eastAsia" w:ascii="楷体" w:hAnsi="楷体" w:eastAsia="楷体" w:cs="楷体"/>
          <w:spacing w:val="5"/>
          <w:sz w:val="31"/>
          <w:szCs w:val="31"/>
          <w:lang w:eastAsia="zh-CN"/>
        </w:rPr>
        <w:t>）债务利息及费用支出</w:t>
      </w:r>
      <w:r>
        <w:rPr>
          <w:rFonts w:hint="eastAsia" w:ascii="楷体" w:hAnsi="楷体" w:eastAsia="楷体" w:cs="楷体"/>
          <w:spacing w:val="5"/>
          <w:sz w:val="31"/>
          <w:szCs w:val="31"/>
          <w:u w:val="single"/>
          <w:lang w:val="en-US" w:eastAsia="zh-CN"/>
        </w:rPr>
        <w:t>0.00</w:t>
      </w:r>
      <w:r>
        <w:rPr>
          <w:rFonts w:hint="eastAsia" w:ascii="楷体" w:hAnsi="楷体" w:eastAsia="楷体" w:cs="楷体"/>
          <w:spacing w:val="5"/>
          <w:sz w:val="31"/>
          <w:szCs w:val="31"/>
          <w:lang w:val="en-US" w:eastAsia="zh-CN"/>
        </w:rPr>
        <w:t>万元。</w:t>
      </w:r>
    </w:p>
    <w:p w14:paraId="2DE912B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lang w:val="en-US" w:eastAsia="zh-CN"/>
        </w:rPr>
      </w:pPr>
      <w:r>
        <w:rPr>
          <w:rFonts w:hint="eastAsia" w:ascii="楷体" w:hAnsi="楷体" w:eastAsia="楷体" w:cs="楷体"/>
          <w:spacing w:val="5"/>
          <w:sz w:val="31"/>
          <w:szCs w:val="31"/>
          <w:lang w:val="en-US" w:eastAsia="zh-CN"/>
        </w:rPr>
        <w:t>（五）资本性支出（基本建设）</w:t>
      </w:r>
      <w:r>
        <w:rPr>
          <w:rFonts w:hint="eastAsia" w:ascii="楷体" w:hAnsi="楷体" w:eastAsia="楷体" w:cs="楷体"/>
          <w:spacing w:val="5"/>
          <w:sz w:val="31"/>
          <w:szCs w:val="31"/>
          <w:u w:val="single"/>
          <w:lang w:val="en-US" w:eastAsia="zh-CN"/>
        </w:rPr>
        <w:t>0.00</w:t>
      </w:r>
      <w:r>
        <w:rPr>
          <w:rFonts w:hint="eastAsia" w:ascii="楷体" w:hAnsi="楷体" w:eastAsia="楷体" w:cs="楷体"/>
          <w:spacing w:val="5"/>
          <w:sz w:val="31"/>
          <w:szCs w:val="31"/>
          <w:lang w:val="en-US" w:eastAsia="zh-CN"/>
        </w:rPr>
        <w:t>万元。</w:t>
      </w:r>
    </w:p>
    <w:p w14:paraId="78DF221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楷体" w:hAnsi="楷体" w:eastAsia="楷体" w:cs="楷体"/>
          <w:spacing w:val="5"/>
          <w:sz w:val="31"/>
          <w:szCs w:val="31"/>
          <w:lang w:val="en-US" w:eastAsia="zh-CN"/>
        </w:rPr>
      </w:pPr>
      <w:r>
        <w:rPr>
          <w:rFonts w:hint="eastAsia" w:ascii="楷体" w:hAnsi="楷体" w:eastAsia="楷体" w:cs="楷体"/>
          <w:spacing w:val="5"/>
          <w:sz w:val="31"/>
          <w:szCs w:val="31"/>
          <w:lang w:val="en-US" w:eastAsia="zh-CN"/>
        </w:rPr>
        <w:t>（六）</w:t>
      </w:r>
      <w:r>
        <w:rPr>
          <w:rFonts w:hint="default" w:ascii="楷体" w:hAnsi="楷体" w:eastAsia="楷体" w:cs="楷体"/>
          <w:spacing w:val="5"/>
          <w:sz w:val="31"/>
          <w:szCs w:val="31"/>
          <w:lang w:val="en-US" w:eastAsia="zh-CN"/>
        </w:rPr>
        <w:t>资本性支出</w:t>
      </w:r>
      <w:r>
        <w:rPr>
          <w:rFonts w:hint="default" w:ascii="楷体" w:hAnsi="楷体" w:eastAsia="楷体" w:cs="楷体"/>
          <w:spacing w:val="5"/>
          <w:sz w:val="31"/>
          <w:szCs w:val="31"/>
          <w:u w:val="single"/>
          <w:lang w:val="en-US" w:eastAsia="zh-CN"/>
        </w:rPr>
        <w:t>7.59</w:t>
      </w:r>
      <w:r>
        <w:rPr>
          <w:rFonts w:hint="eastAsia" w:ascii="楷体" w:hAnsi="楷体" w:eastAsia="楷体" w:cs="楷体"/>
          <w:spacing w:val="5"/>
          <w:sz w:val="31"/>
          <w:szCs w:val="31"/>
          <w:lang w:val="en-US" w:eastAsia="zh-CN"/>
        </w:rPr>
        <w:t>万元。</w:t>
      </w:r>
      <w:r>
        <w:rPr>
          <w:rFonts w:ascii="仿宋" w:hAnsi="仿宋" w:eastAsia="仿宋" w:cs="仿宋"/>
          <w:spacing w:val="5"/>
          <w:sz w:val="31"/>
          <w:szCs w:val="31"/>
        </w:rPr>
        <w:t>主要包括：</w:t>
      </w:r>
      <w:r>
        <w:rPr>
          <w:rFonts w:hint="eastAsia" w:ascii="仿宋" w:hAnsi="仿宋" w:eastAsia="仿宋" w:cs="仿宋"/>
          <w:spacing w:val="5"/>
          <w:sz w:val="31"/>
          <w:szCs w:val="31"/>
          <w:lang w:eastAsia="zh-CN"/>
        </w:rPr>
        <w:t>办公设备购置7.59</w:t>
      </w:r>
      <w:r>
        <w:rPr>
          <w:rFonts w:hint="eastAsia" w:ascii="仿宋" w:hAnsi="仿宋" w:eastAsia="仿宋" w:cs="仿宋"/>
          <w:spacing w:val="5"/>
          <w:sz w:val="31"/>
          <w:szCs w:val="31"/>
          <w:lang w:val="en-US" w:eastAsia="zh-CN"/>
        </w:rPr>
        <w:t>万元。</w:t>
      </w:r>
    </w:p>
    <w:p w14:paraId="4D573F9D">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黑体" w:hAnsi="黑体" w:eastAsia="黑体" w:cs="黑体"/>
          <w:b w:val="0"/>
          <w:bCs w:val="0"/>
          <w:kern w:val="0"/>
          <w:sz w:val="31"/>
          <w:szCs w:val="31"/>
        </w:rPr>
      </w:pPr>
      <w:r>
        <w:rPr>
          <w:rFonts w:ascii="黑体" w:hAnsi="黑体" w:eastAsia="黑体" w:cs="黑体"/>
          <w:b w:val="0"/>
          <w:bCs w:val="0"/>
          <w:kern w:val="0"/>
          <w:sz w:val="31"/>
          <w:szCs w:val="31"/>
        </w:rPr>
        <w:t>八、财政拨款“三公”经费支出决算情况说明</w:t>
      </w:r>
    </w:p>
    <w:p w14:paraId="7AE9D882">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ascii="楷体" w:hAnsi="楷体" w:eastAsia="楷体" w:cs="楷体"/>
          <w:spacing w:val="5"/>
          <w:sz w:val="31"/>
          <w:szCs w:val="31"/>
        </w:rPr>
      </w:pPr>
      <w:r>
        <w:rPr>
          <w:rFonts w:hint="eastAsia" w:ascii="楷体" w:hAnsi="楷体" w:eastAsia="楷体" w:cs="楷体"/>
          <w:spacing w:val="5"/>
          <w:sz w:val="31"/>
          <w:szCs w:val="31"/>
          <w:lang w:eastAsia="zh-CN"/>
        </w:rPr>
        <w:t>（一）财政拨款“三公”经费支出总体情况说明。</w:t>
      </w:r>
    </w:p>
    <w:p w14:paraId="216D7AF9">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ascii="Times New Roman" w:hAnsi="Times New Roman" w:eastAsia="Times New Roman" w:cs="Times New Roman"/>
          <w:kern w:val="0"/>
          <w:sz w:val="24"/>
        </w:rPr>
      </w:pPr>
      <w:r>
        <w:rPr>
          <w:rFonts w:ascii="仿宋" w:hAnsi="仿宋" w:eastAsia="仿宋" w:cs="仿宋"/>
          <w:spacing w:val="5"/>
          <w:sz w:val="31"/>
          <w:szCs w:val="31"/>
        </w:rPr>
        <w:t>锡林郭勒盟能源局（部门）2023年度财政拨款“三公”经费全年预算</w:t>
      </w:r>
      <w:r>
        <w:rPr>
          <w:rFonts w:ascii="仿宋" w:hAnsi="仿宋" w:eastAsia="仿宋" w:cs="仿宋"/>
          <w:spacing w:val="5"/>
          <w:sz w:val="31"/>
          <w:szCs w:val="31"/>
          <w:u w:val="single"/>
        </w:rPr>
        <w:t>15.01</w:t>
      </w:r>
      <w:r>
        <w:rPr>
          <w:rFonts w:ascii="仿宋" w:hAnsi="仿宋" w:eastAsia="仿宋" w:cs="仿宋"/>
          <w:spacing w:val="5"/>
          <w:sz w:val="31"/>
          <w:szCs w:val="31"/>
        </w:rPr>
        <w:t>万元，支出决算</w:t>
      </w:r>
      <w:r>
        <w:rPr>
          <w:rFonts w:ascii="仿宋" w:hAnsi="仿宋" w:eastAsia="仿宋" w:cs="仿宋"/>
          <w:spacing w:val="5"/>
          <w:sz w:val="31"/>
          <w:szCs w:val="31"/>
          <w:u w:val="single"/>
        </w:rPr>
        <w:t>12.30</w:t>
      </w:r>
      <w:r>
        <w:rPr>
          <w:rFonts w:ascii="仿宋" w:hAnsi="仿宋" w:eastAsia="仿宋" w:cs="仿宋"/>
          <w:spacing w:val="5"/>
          <w:sz w:val="31"/>
          <w:szCs w:val="31"/>
        </w:rPr>
        <w:t>万元，完成预算的</w:t>
      </w:r>
      <w:r>
        <w:rPr>
          <w:rFonts w:ascii="仿宋" w:hAnsi="仿宋" w:eastAsia="仿宋" w:cs="仿宋"/>
          <w:spacing w:val="5"/>
          <w:sz w:val="31"/>
          <w:szCs w:val="31"/>
          <w:u w:val="single"/>
        </w:rPr>
        <w:t>81.95</w:t>
      </w:r>
      <w:r>
        <w:rPr>
          <w:rFonts w:ascii="仿宋" w:hAnsi="仿宋" w:eastAsia="仿宋" w:cs="仿宋"/>
          <w:spacing w:val="5"/>
          <w:sz w:val="31"/>
          <w:szCs w:val="31"/>
        </w:rPr>
        <w:t>%。其中：因公出国（境）费全年预算</w:t>
      </w:r>
      <w:r>
        <w:rPr>
          <w:rFonts w:ascii="仿宋" w:hAnsi="仿宋" w:eastAsia="仿宋" w:cs="仿宋"/>
          <w:spacing w:val="5"/>
          <w:sz w:val="31"/>
          <w:szCs w:val="31"/>
          <w:u w:val="single"/>
        </w:rPr>
        <w:t>0.00</w:t>
      </w:r>
      <w:r>
        <w:rPr>
          <w:rFonts w:ascii="仿宋" w:hAnsi="仿宋" w:eastAsia="仿宋" w:cs="仿宋"/>
          <w:spacing w:val="5"/>
          <w:sz w:val="31"/>
          <w:szCs w:val="31"/>
        </w:rPr>
        <w:t>万元，支出决算</w:t>
      </w:r>
      <w:r>
        <w:rPr>
          <w:rFonts w:ascii="仿宋" w:hAnsi="仿宋" w:eastAsia="仿宋" w:cs="仿宋"/>
          <w:spacing w:val="5"/>
          <w:sz w:val="31"/>
          <w:szCs w:val="31"/>
          <w:u w:val="single"/>
        </w:rPr>
        <w:t>0.00</w:t>
      </w:r>
      <w:r>
        <w:rPr>
          <w:rFonts w:ascii="仿宋" w:hAnsi="仿宋" w:eastAsia="仿宋" w:cs="仿宋"/>
          <w:spacing w:val="5"/>
          <w:sz w:val="31"/>
          <w:szCs w:val="31"/>
        </w:rPr>
        <w:t>万元，完成预算的</w:t>
      </w:r>
      <w:r>
        <w:rPr>
          <w:rFonts w:hint="eastAsia" w:ascii="仿宋" w:hAnsi="仿宋" w:eastAsia="仿宋" w:cs="仿宋"/>
          <w:spacing w:val="5"/>
          <w:sz w:val="31"/>
          <w:szCs w:val="31"/>
          <w:u w:val="single"/>
          <w:lang w:val="en-US" w:eastAsia="zh-CN"/>
        </w:rPr>
        <w:t>0</w:t>
      </w:r>
      <w:r>
        <w:rPr>
          <w:rFonts w:ascii="仿宋" w:hAnsi="仿宋" w:eastAsia="仿宋" w:cs="仿宋"/>
          <w:spacing w:val="5"/>
          <w:sz w:val="31"/>
          <w:szCs w:val="31"/>
        </w:rPr>
        <w:t>%；公务用车购置及运行维护费全年预算</w:t>
      </w:r>
      <w:r>
        <w:rPr>
          <w:rFonts w:ascii="仿宋" w:hAnsi="仿宋" w:eastAsia="仿宋" w:cs="仿宋"/>
          <w:spacing w:val="5"/>
          <w:sz w:val="31"/>
          <w:szCs w:val="31"/>
          <w:u w:val="single"/>
        </w:rPr>
        <w:t>12.49</w:t>
      </w:r>
      <w:r>
        <w:rPr>
          <w:rFonts w:ascii="仿宋" w:hAnsi="仿宋" w:eastAsia="仿宋" w:cs="仿宋"/>
          <w:spacing w:val="5"/>
          <w:sz w:val="31"/>
          <w:szCs w:val="31"/>
        </w:rPr>
        <w:t>万元，支出决算</w:t>
      </w:r>
      <w:r>
        <w:rPr>
          <w:rFonts w:ascii="仿宋" w:hAnsi="仿宋" w:eastAsia="仿宋" w:cs="仿宋"/>
          <w:spacing w:val="5"/>
          <w:sz w:val="31"/>
          <w:szCs w:val="31"/>
          <w:u w:val="single"/>
        </w:rPr>
        <w:t>10.49</w:t>
      </w:r>
      <w:r>
        <w:rPr>
          <w:rFonts w:ascii="仿宋" w:hAnsi="仿宋" w:eastAsia="仿宋" w:cs="仿宋"/>
          <w:spacing w:val="5"/>
          <w:sz w:val="31"/>
          <w:szCs w:val="31"/>
        </w:rPr>
        <w:t>万元，完成预算的</w:t>
      </w:r>
      <w:r>
        <w:rPr>
          <w:rFonts w:ascii="仿宋" w:hAnsi="仿宋" w:eastAsia="仿宋" w:cs="仿宋"/>
          <w:spacing w:val="5"/>
          <w:sz w:val="31"/>
          <w:szCs w:val="31"/>
          <w:u w:val="single"/>
        </w:rPr>
        <w:t>83.98</w:t>
      </w:r>
      <w:r>
        <w:rPr>
          <w:rFonts w:ascii="仿宋" w:hAnsi="仿宋" w:eastAsia="仿宋" w:cs="仿宋"/>
          <w:spacing w:val="5"/>
          <w:sz w:val="31"/>
          <w:szCs w:val="31"/>
        </w:rPr>
        <w:t>%；公务接待费全年预算</w:t>
      </w:r>
      <w:r>
        <w:rPr>
          <w:rFonts w:ascii="仿宋" w:hAnsi="仿宋" w:eastAsia="仿宋" w:cs="仿宋"/>
          <w:spacing w:val="5"/>
          <w:sz w:val="31"/>
          <w:szCs w:val="31"/>
          <w:u w:val="single"/>
        </w:rPr>
        <w:t>2.52</w:t>
      </w:r>
      <w:r>
        <w:rPr>
          <w:rFonts w:ascii="仿宋" w:hAnsi="仿宋" w:eastAsia="仿宋" w:cs="仿宋"/>
          <w:spacing w:val="5"/>
          <w:sz w:val="31"/>
          <w:szCs w:val="31"/>
        </w:rPr>
        <w:t>万元，支出决算</w:t>
      </w:r>
      <w:r>
        <w:rPr>
          <w:rFonts w:ascii="仿宋" w:hAnsi="仿宋" w:eastAsia="仿宋" w:cs="仿宋"/>
          <w:spacing w:val="5"/>
          <w:sz w:val="31"/>
          <w:szCs w:val="31"/>
          <w:u w:val="single"/>
        </w:rPr>
        <w:t>1.81</w:t>
      </w:r>
      <w:r>
        <w:rPr>
          <w:rFonts w:ascii="仿宋" w:hAnsi="仿宋" w:eastAsia="仿宋" w:cs="仿宋"/>
          <w:spacing w:val="5"/>
          <w:sz w:val="31"/>
          <w:szCs w:val="31"/>
        </w:rPr>
        <w:t>万元，完成预算的</w:t>
      </w:r>
      <w:r>
        <w:rPr>
          <w:rFonts w:ascii="仿宋" w:hAnsi="仿宋" w:eastAsia="仿宋" w:cs="仿宋"/>
          <w:spacing w:val="5"/>
          <w:sz w:val="31"/>
          <w:szCs w:val="31"/>
          <w:u w:val="single"/>
        </w:rPr>
        <w:t>71.85</w:t>
      </w:r>
      <w:r>
        <w:rPr>
          <w:rFonts w:ascii="仿宋" w:hAnsi="仿宋" w:eastAsia="仿宋" w:cs="仿宋"/>
          <w:spacing w:val="5"/>
          <w:sz w:val="31"/>
          <w:szCs w:val="31"/>
        </w:rPr>
        <w:t>%。2023年度一般公共预算财政拨款“三公”经费支出决算与预算差异原因</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按照中央八项规定精神，我部门严格控制“三公”经费支出，根据实际情况决算数较年初预算减少。</w:t>
      </w:r>
    </w:p>
    <w:p w14:paraId="5513CD44">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b/>
          <w:bCs/>
          <w:spacing w:val="5"/>
          <w:sz w:val="31"/>
          <w:szCs w:val="31"/>
          <w:lang w:eastAsia="zh-CN"/>
        </w:rPr>
      </w:pPr>
      <w:r>
        <w:rPr>
          <w:rFonts w:hint="eastAsia" w:ascii="楷体" w:hAnsi="楷体" w:eastAsia="楷体" w:cs="楷体"/>
          <w:spacing w:val="5"/>
          <w:sz w:val="31"/>
          <w:szCs w:val="31"/>
          <w:lang w:eastAsia="zh-CN"/>
        </w:rPr>
        <w:t>（二）财政拨款“三公”经费支出具体情况说明。</w:t>
      </w:r>
    </w:p>
    <w:p w14:paraId="1084006B">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ascii="仿宋" w:hAnsi="仿宋" w:eastAsia="仿宋" w:cs="仿宋"/>
          <w:spacing w:val="5"/>
          <w:sz w:val="31"/>
          <w:szCs w:val="31"/>
        </w:rPr>
      </w:pPr>
      <w:r>
        <w:rPr>
          <w:rFonts w:ascii="仿宋" w:hAnsi="仿宋" w:eastAsia="仿宋" w:cs="仿宋"/>
          <w:spacing w:val="5"/>
          <w:sz w:val="31"/>
          <w:szCs w:val="31"/>
        </w:rPr>
        <w:t>锡林郭勒盟能源局（部门）2023年度财政拨款“三公”经费支出</w:t>
      </w:r>
      <w:r>
        <w:rPr>
          <w:rFonts w:ascii="仿宋" w:hAnsi="仿宋" w:eastAsia="仿宋" w:cs="仿宋"/>
          <w:spacing w:val="5"/>
          <w:sz w:val="31"/>
          <w:szCs w:val="31"/>
          <w:u w:val="single"/>
        </w:rPr>
        <w:t>12.30</w:t>
      </w:r>
      <w:r>
        <w:rPr>
          <w:rFonts w:ascii="仿宋" w:hAnsi="仿宋" w:eastAsia="仿宋" w:cs="仿宋"/>
          <w:spacing w:val="5"/>
          <w:sz w:val="31"/>
          <w:szCs w:val="31"/>
        </w:rPr>
        <w:t>万元。因公出国（境）费支出</w:t>
      </w:r>
      <w:r>
        <w:rPr>
          <w:rFonts w:ascii="仿宋" w:hAnsi="仿宋" w:eastAsia="仿宋" w:cs="仿宋"/>
          <w:spacing w:val="5"/>
          <w:sz w:val="31"/>
          <w:szCs w:val="31"/>
          <w:u w:val="single"/>
        </w:rPr>
        <w:t>0.00</w:t>
      </w:r>
      <w:r>
        <w:rPr>
          <w:rFonts w:ascii="仿宋" w:hAnsi="仿宋" w:eastAsia="仿宋" w:cs="仿宋"/>
          <w:spacing w:val="5"/>
          <w:sz w:val="31"/>
          <w:szCs w:val="31"/>
        </w:rPr>
        <w:t>万元，占</w:t>
      </w:r>
      <w:r>
        <w:rPr>
          <w:rFonts w:ascii="仿宋" w:hAnsi="仿宋" w:eastAsia="仿宋" w:cs="仿宋"/>
          <w:spacing w:val="5"/>
          <w:sz w:val="31"/>
          <w:szCs w:val="31"/>
          <w:u w:val="single"/>
        </w:rPr>
        <w:t>0.00</w:t>
      </w:r>
      <w:r>
        <w:rPr>
          <w:rFonts w:ascii="仿宋" w:hAnsi="仿宋" w:eastAsia="仿宋" w:cs="仿宋"/>
          <w:spacing w:val="5"/>
          <w:sz w:val="31"/>
          <w:szCs w:val="31"/>
        </w:rPr>
        <w:t>%；公务用车购置及运行维护费支出</w:t>
      </w:r>
      <w:r>
        <w:rPr>
          <w:rFonts w:ascii="仿宋" w:hAnsi="仿宋" w:eastAsia="仿宋" w:cs="仿宋"/>
          <w:spacing w:val="5"/>
          <w:sz w:val="31"/>
          <w:szCs w:val="31"/>
          <w:u w:val="single"/>
        </w:rPr>
        <w:t>10.49</w:t>
      </w:r>
      <w:r>
        <w:rPr>
          <w:rFonts w:ascii="仿宋" w:hAnsi="仿宋" w:eastAsia="仿宋" w:cs="仿宋"/>
          <w:spacing w:val="5"/>
          <w:sz w:val="31"/>
          <w:szCs w:val="31"/>
        </w:rPr>
        <w:t>万元，占</w:t>
      </w:r>
      <w:r>
        <w:rPr>
          <w:rFonts w:ascii="仿宋" w:hAnsi="仿宋" w:eastAsia="仿宋" w:cs="仿宋"/>
          <w:spacing w:val="5"/>
          <w:sz w:val="31"/>
          <w:szCs w:val="31"/>
          <w:u w:val="single"/>
        </w:rPr>
        <w:t>85.28</w:t>
      </w:r>
      <w:r>
        <w:rPr>
          <w:rFonts w:ascii="仿宋" w:hAnsi="仿宋" w:eastAsia="仿宋" w:cs="仿宋"/>
          <w:spacing w:val="5"/>
          <w:sz w:val="31"/>
          <w:szCs w:val="31"/>
        </w:rPr>
        <w:t>%；公务接待费支出</w:t>
      </w:r>
      <w:r>
        <w:rPr>
          <w:rFonts w:ascii="仿宋" w:hAnsi="仿宋" w:eastAsia="仿宋" w:cs="仿宋"/>
          <w:spacing w:val="5"/>
          <w:sz w:val="31"/>
          <w:szCs w:val="31"/>
          <w:u w:val="single"/>
        </w:rPr>
        <w:t>1.81</w:t>
      </w:r>
      <w:r>
        <w:rPr>
          <w:rFonts w:ascii="仿宋" w:hAnsi="仿宋" w:eastAsia="仿宋" w:cs="仿宋"/>
          <w:spacing w:val="5"/>
          <w:sz w:val="31"/>
          <w:szCs w:val="31"/>
        </w:rPr>
        <w:t>万元，占</w:t>
      </w:r>
      <w:r>
        <w:rPr>
          <w:rFonts w:ascii="仿宋" w:hAnsi="仿宋" w:eastAsia="仿宋" w:cs="仿宋"/>
          <w:spacing w:val="5"/>
          <w:sz w:val="31"/>
          <w:szCs w:val="31"/>
          <w:u w:val="single"/>
        </w:rPr>
        <w:t>14.72</w:t>
      </w:r>
      <w:r>
        <w:rPr>
          <w:rFonts w:ascii="仿宋" w:hAnsi="仿宋" w:eastAsia="仿宋" w:cs="仿宋"/>
          <w:spacing w:val="5"/>
          <w:sz w:val="31"/>
          <w:szCs w:val="31"/>
        </w:rPr>
        <w:t>%。其中：</w:t>
      </w:r>
    </w:p>
    <w:p w14:paraId="36269753">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ascii="仿宋" w:hAnsi="仿宋" w:eastAsia="仿宋" w:cs="仿宋"/>
          <w:spacing w:val="5"/>
          <w:sz w:val="31"/>
          <w:szCs w:val="31"/>
        </w:rPr>
      </w:pPr>
      <w:r>
        <w:rPr>
          <w:rFonts w:hint="eastAsia" w:ascii="仿宋" w:hAnsi="仿宋" w:eastAsia="仿宋" w:cs="仿宋"/>
          <w:spacing w:val="5"/>
          <w:sz w:val="31"/>
          <w:szCs w:val="31"/>
          <w:lang w:val="en-US" w:eastAsia="zh-CN"/>
        </w:rPr>
        <w:t>1.</w:t>
      </w:r>
      <w:r>
        <w:rPr>
          <w:rFonts w:ascii="仿宋" w:hAnsi="仿宋" w:eastAsia="仿宋" w:cs="仿宋"/>
          <w:spacing w:val="5"/>
          <w:sz w:val="31"/>
          <w:szCs w:val="31"/>
        </w:rPr>
        <w:t>因公出国（境）费支出</w:t>
      </w:r>
      <w:r>
        <w:rPr>
          <w:rFonts w:ascii="仿宋" w:hAnsi="仿宋" w:eastAsia="仿宋" w:cs="仿宋"/>
          <w:spacing w:val="5"/>
          <w:sz w:val="31"/>
          <w:szCs w:val="31"/>
          <w:u w:val="single"/>
        </w:rPr>
        <w:t>0.00</w:t>
      </w:r>
      <w:r>
        <w:rPr>
          <w:rFonts w:ascii="仿宋" w:hAnsi="仿宋" w:eastAsia="仿宋" w:cs="仿宋"/>
          <w:spacing w:val="5"/>
          <w:sz w:val="31"/>
          <w:szCs w:val="31"/>
        </w:rPr>
        <w:t>万元，全年出国（境）团组</w:t>
      </w:r>
      <w:r>
        <w:rPr>
          <w:rFonts w:ascii="仿宋" w:hAnsi="仿宋" w:eastAsia="仿宋" w:cs="仿宋"/>
          <w:spacing w:val="5"/>
          <w:sz w:val="31"/>
          <w:szCs w:val="31"/>
          <w:u w:val="single"/>
        </w:rPr>
        <w:t>0</w:t>
      </w:r>
      <w:r>
        <w:rPr>
          <w:rFonts w:ascii="仿宋" w:hAnsi="仿宋" w:eastAsia="仿宋" w:cs="仿宋"/>
          <w:spacing w:val="5"/>
          <w:sz w:val="31"/>
          <w:szCs w:val="31"/>
        </w:rPr>
        <w:t>个，累计</w:t>
      </w:r>
      <w:r>
        <w:rPr>
          <w:rFonts w:ascii="仿宋" w:hAnsi="仿宋" w:eastAsia="仿宋" w:cs="仿宋"/>
          <w:spacing w:val="5"/>
          <w:sz w:val="31"/>
          <w:szCs w:val="31"/>
          <w:u w:val="single"/>
        </w:rPr>
        <w:t>0</w:t>
      </w:r>
      <w:r>
        <w:rPr>
          <w:rFonts w:ascii="仿宋" w:hAnsi="仿宋" w:eastAsia="仿宋" w:cs="仿宋"/>
          <w:spacing w:val="5"/>
          <w:sz w:val="31"/>
          <w:szCs w:val="31"/>
        </w:rPr>
        <w:t>人次。与上年决算相比，增加（减少）</w:t>
      </w:r>
      <w:r>
        <w:rPr>
          <w:rFonts w:ascii="仿宋" w:hAnsi="仿宋" w:eastAsia="仿宋" w:cs="仿宋"/>
          <w:spacing w:val="5"/>
          <w:sz w:val="31"/>
          <w:szCs w:val="31"/>
          <w:u w:val="single"/>
        </w:rPr>
        <w:t>0.00</w:t>
      </w:r>
      <w:r>
        <w:rPr>
          <w:rFonts w:ascii="仿宋" w:hAnsi="仿宋" w:eastAsia="仿宋" w:cs="仿宋"/>
          <w:spacing w:val="5"/>
          <w:sz w:val="31"/>
          <w:szCs w:val="31"/>
        </w:rPr>
        <w:t>万元，增长（减少）</w:t>
      </w:r>
      <w:r>
        <w:rPr>
          <w:rFonts w:hint="eastAsia" w:ascii="仿宋" w:hAnsi="仿宋" w:eastAsia="仿宋" w:cs="仿宋"/>
          <w:spacing w:val="5"/>
          <w:sz w:val="31"/>
          <w:szCs w:val="31"/>
          <w:u w:val="single"/>
          <w:lang w:val="en-US" w:eastAsia="zh-CN"/>
        </w:rPr>
        <w:t>0</w:t>
      </w:r>
      <w:r>
        <w:rPr>
          <w:rFonts w:ascii="仿宋" w:hAnsi="仿宋" w:eastAsia="仿宋" w:cs="仿宋"/>
          <w:spacing w:val="5"/>
          <w:sz w:val="31"/>
          <w:szCs w:val="31"/>
        </w:rPr>
        <w:t>%，变动原因：无此项内容。</w:t>
      </w:r>
    </w:p>
    <w:p w14:paraId="7D27B1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640" w:firstLineChars="200"/>
        <w:jc w:val="both"/>
        <w:textAlignment w:val="auto"/>
        <w:rPr>
          <w:rFonts w:ascii="仿宋" w:hAnsi="仿宋" w:eastAsia="仿宋" w:cs="仿宋"/>
          <w:spacing w:val="5"/>
          <w:sz w:val="31"/>
          <w:szCs w:val="31"/>
        </w:rPr>
      </w:pPr>
      <w:r>
        <w:rPr>
          <w:rFonts w:hint="eastAsia" w:ascii="仿宋" w:hAnsi="仿宋" w:eastAsia="仿宋" w:cs="仿宋"/>
          <w:spacing w:val="5"/>
          <w:sz w:val="31"/>
          <w:szCs w:val="31"/>
          <w:lang w:val="en-US" w:eastAsia="zh-CN"/>
        </w:rPr>
        <w:t>2</w:t>
      </w:r>
      <w:r>
        <w:rPr>
          <w:rFonts w:ascii="仿宋" w:hAnsi="仿宋" w:eastAsia="仿宋" w:cs="仿宋"/>
          <w:spacing w:val="5"/>
          <w:sz w:val="31"/>
          <w:szCs w:val="31"/>
        </w:rPr>
        <w:t>.公务用车购置及运行维护费支出</w:t>
      </w:r>
      <w:r>
        <w:rPr>
          <w:rFonts w:ascii="仿宋" w:hAnsi="仿宋" w:eastAsia="仿宋" w:cs="仿宋"/>
          <w:spacing w:val="5"/>
          <w:sz w:val="31"/>
          <w:szCs w:val="31"/>
          <w:u w:val="single"/>
        </w:rPr>
        <w:t>10.49</w:t>
      </w:r>
      <w:r>
        <w:rPr>
          <w:rFonts w:ascii="仿宋" w:hAnsi="仿宋" w:eastAsia="仿宋" w:cs="仿宋"/>
          <w:spacing w:val="5"/>
          <w:sz w:val="31"/>
          <w:szCs w:val="31"/>
        </w:rPr>
        <w:t>万元。其中：</w:t>
      </w:r>
    </w:p>
    <w:p w14:paraId="59970BC1">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ascii="仿宋" w:hAnsi="仿宋" w:eastAsia="仿宋" w:cs="仿宋"/>
          <w:spacing w:val="5"/>
          <w:sz w:val="31"/>
          <w:szCs w:val="31"/>
        </w:rPr>
      </w:pPr>
      <w:r>
        <w:rPr>
          <w:rFonts w:ascii="仿宋" w:hAnsi="仿宋" w:eastAsia="仿宋" w:cs="仿宋"/>
          <w:spacing w:val="5"/>
          <w:sz w:val="31"/>
          <w:szCs w:val="31"/>
        </w:rPr>
        <w:t>（1）公务用车购置支出</w:t>
      </w:r>
      <w:r>
        <w:rPr>
          <w:rFonts w:ascii="仿宋" w:hAnsi="仿宋" w:eastAsia="仿宋" w:cs="仿宋"/>
          <w:spacing w:val="5"/>
          <w:sz w:val="31"/>
          <w:szCs w:val="31"/>
          <w:u w:val="single"/>
        </w:rPr>
        <w:t>0.00</w:t>
      </w:r>
      <w:r>
        <w:rPr>
          <w:rFonts w:ascii="仿宋" w:hAnsi="仿宋" w:eastAsia="仿宋" w:cs="仿宋"/>
          <w:spacing w:val="5"/>
          <w:sz w:val="31"/>
          <w:szCs w:val="31"/>
        </w:rPr>
        <w:t>万元。本年度使用财政拨款购置公务用车</w:t>
      </w:r>
      <w:r>
        <w:rPr>
          <w:rFonts w:ascii="仿宋" w:hAnsi="仿宋" w:eastAsia="仿宋" w:cs="仿宋"/>
          <w:spacing w:val="5"/>
          <w:sz w:val="31"/>
          <w:szCs w:val="31"/>
          <w:u w:val="single"/>
        </w:rPr>
        <w:t>0</w:t>
      </w:r>
      <w:r>
        <w:rPr>
          <w:rFonts w:ascii="仿宋" w:hAnsi="仿宋" w:eastAsia="仿宋" w:cs="仿宋"/>
          <w:spacing w:val="5"/>
          <w:sz w:val="31"/>
          <w:szCs w:val="31"/>
        </w:rPr>
        <w:t>辆，开支内容：无此项内容。与上年决算相比，增加（减少）</w:t>
      </w:r>
      <w:r>
        <w:rPr>
          <w:rFonts w:ascii="仿宋" w:hAnsi="仿宋" w:eastAsia="仿宋" w:cs="仿宋"/>
          <w:spacing w:val="5"/>
          <w:sz w:val="31"/>
          <w:szCs w:val="31"/>
          <w:u w:val="single"/>
        </w:rPr>
        <w:t>0.00</w:t>
      </w:r>
      <w:r>
        <w:rPr>
          <w:rFonts w:ascii="仿宋" w:hAnsi="仿宋" w:eastAsia="仿宋" w:cs="仿宋"/>
          <w:spacing w:val="5"/>
          <w:sz w:val="31"/>
          <w:szCs w:val="31"/>
        </w:rPr>
        <w:t>万元，增长（减少）</w:t>
      </w:r>
      <w:r>
        <w:rPr>
          <w:rFonts w:hint="eastAsia" w:ascii="仿宋" w:hAnsi="仿宋" w:eastAsia="仿宋" w:cs="仿宋"/>
          <w:spacing w:val="5"/>
          <w:sz w:val="31"/>
          <w:szCs w:val="31"/>
          <w:u w:val="single"/>
          <w:lang w:val="en-US" w:eastAsia="zh-CN"/>
        </w:rPr>
        <w:t>0</w:t>
      </w:r>
      <w:r>
        <w:rPr>
          <w:rFonts w:ascii="仿宋" w:hAnsi="仿宋" w:eastAsia="仿宋" w:cs="仿宋"/>
          <w:spacing w:val="5"/>
          <w:sz w:val="31"/>
          <w:szCs w:val="31"/>
        </w:rPr>
        <w:t>%，变动原因：无此项内容。</w:t>
      </w:r>
    </w:p>
    <w:p w14:paraId="7DD8A709">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ascii="仿宋" w:hAnsi="仿宋" w:eastAsia="仿宋" w:cs="仿宋"/>
          <w:spacing w:val="5"/>
          <w:sz w:val="31"/>
          <w:szCs w:val="31"/>
        </w:rPr>
      </w:pPr>
      <w:r>
        <w:rPr>
          <w:rFonts w:ascii="仿宋" w:hAnsi="仿宋" w:eastAsia="仿宋" w:cs="仿宋"/>
          <w:spacing w:val="5"/>
          <w:sz w:val="31"/>
          <w:szCs w:val="31"/>
        </w:rPr>
        <w:t>（2）公务用车运行维护费支出</w:t>
      </w:r>
      <w:r>
        <w:rPr>
          <w:rFonts w:ascii="仿宋" w:hAnsi="仿宋" w:eastAsia="仿宋" w:cs="仿宋"/>
          <w:spacing w:val="5"/>
          <w:sz w:val="31"/>
          <w:szCs w:val="31"/>
          <w:u w:val="single"/>
        </w:rPr>
        <w:t>10.49</w:t>
      </w:r>
      <w:r>
        <w:rPr>
          <w:rFonts w:ascii="仿宋" w:hAnsi="仿宋" w:eastAsia="仿宋" w:cs="仿宋"/>
          <w:spacing w:val="5"/>
          <w:sz w:val="31"/>
          <w:szCs w:val="31"/>
        </w:rPr>
        <w:t>万元。公务用车运行维护费主要用于按规定保留的公务用车的燃料费、维修费、过桥过路费、保险费、安全奖励费用等支出。截至2023年12月31日，使用财政拨款开支的公务用车保有量为</w:t>
      </w:r>
      <w:r>
        <w:rPr>
          <w:rFonts w:ascii="仿宋" w:hAnsi="仿宋" w:eastAsia="仿宋" w:cs="仿宋"/>
          <w:spacing w:val="5"/>
          <w:sz w:val="31"/>
          <w:szCs w:val="31"/>
          <w:u w:val="single"/>
        </w:rPr>
        <w:t>2</w:t>
      </w:r>
      <w:r>
        <w:rPr>
          <w:rFonts w:ascii="仿宋" w:hAnsi="仿宋" w:eastAsia="仿宋" w:cs="仿宋"/>
          <w:spacing w:val="5"/>
          <w:sz w:val="31"/>
          <w:szCs w:val="31"/>
        </w:rPr>
        <w:t>辆。与上年决算相比，增加</w:t>
      </w:r>
      <w:r>
        <w:rPr>
          <w:rFonts w:ascii="仿宋" w:hAnsi="仿宋" w:eastAsia="仿宋" w:cs="仿宋"/>
          <w:spacing w:val="5"/>
          <w:sz w:val="31"/>
          <w:szCs w:val="31"/>
          <w:u w:val="single"/>
        </w:rPr>
        <w:t>1.78</w:t>
      </w:r>
      <w:r>
        <w:rPr>
          <w:rFonts w:ascii="仿宋" w:hAnsi="仿宋" w:eastAsia="仿宋" w:cs="仿宋"/>
          <w:spacing w:val="5"/>
          <w:sz w:val="31"/>
          <w:szCs w:val="31"/>
        </w:rPr>
        <w:t>万元，增长</w:t>
      </w:r>
      <w:r>
        <w:rPr>
          <w:rFonts w:ascii="仿宋" w:hAnsi="仿宋" w:eastAsia="仿宋" w:cs="仿宋"/>
          <w:spacing w:val="5"/>
          <w:sz w:val="31"/>
          <w:szCs w:val="31"/>
          <w:u w:val="single"/>
        </w:rPr>
        <w:t>20.44</w:t>
      </w:r>
      <w:r>
        <w:rPr>
          <w:rFonts w:ascii="仿宋" w:hAnsi="仿宋" w:eastAsia="仿宋" w:cs="仿宋"/>
          <w:spacing w:val="5"/>
          <w:sz w:val="31"/>
          <w:szCs w:val="31"/>
        </w:rPr>
        <w:t>%，变动原因：</w:t>
      </w:r>
      <w:r>
        <w:rPr>
          <w:rFonts w:hint="eastAsia" w:ascii="仿宋" w:hAnsi="仿宋" w:eastAsia="仿宋" w:cs="仿宋"/>
          <w:spacing w:val="5"/>
          <w:sz w:val="31"/>
          <w:szCs w:val="31"/>
          <w:lang w:val="en-US" w:eastAsia="zh-CN"/>
        </w:rPr>
        <w:t>本年安全检查、能源项目协调推动等工作较上年增加，公车使用次数也相应增加，导致公车运行维护费较上年有增长</w:t>
      </w:r>
      <w:r>
        <w:rPr>
          <w:rFonts w:ascii="仿宋" w:hAnsi="仿宋" w:eastAsia="仿宋" w:cs="仿宋"/>
          <w:spacing w:val="5"/>
          <w:sz w:val="31"/>
          <w:szCs w:val="31"/>
        </w:rPr>
        <w:t>。</w:t>
      </w:r>
    </w:p>
    <w:p w14:paraId="01C6EA0C">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ascii="仿宋" w:hAnsi="仿宋" w:eastAsia="仿宋" w:cs="仿宋"/>
          <w:spacing w:val="5"/>
          <w:sz w:val="31"/>
          <w:szCs w:val="31"/>
        </w:rPr>
      </w:pPr>
      <w:r>
        <w:rPr>
          <w:rFonts w:ascii="仿宋" w:hAnsi="仿宋" w:eastAsia="仿宋" w:cs="仿宋"/>
          <w:spacing w:val="5"/>
          <w:sz w:val="31"/>
          <w:szCs w:val="31"/>
        </w:rPr>
        <w:t>3.公务接待费支出</w:t>
      </w:r>
      <w:r>
        <w:rPr>
          <w:rFonts w:ascii="仿宋" w:hAnsi="仿宋" w:eastAsia="仿宋" w:cs="仿宋"/>
          <w:spacing w:val="5"/>
          <w:sz w:val="31"/>
          <w:szCs w:val="31"/>
          <w:u w:val="single"/>
        </w:rPr>
        <w:t>1.81</w:t>
      </w:r>
      <w:r>
        <w:rPr>
          <w:rFonts w:ascii="仿宋" w:hAnsi="仿宋" w:eastAsia="仿宋" w:cs="仿宋"/>
          <w:spacing w:val="5"/>
          <w:sz w:val="31"/>
          <w:szCs w:val="31"/>
        </w:rPr>
        <w:t>万元。其中：国内公务接待支出</w:t>
      </w:r>
      <w:r>
        <w:rPr>
          <w:rFonts w:ascii="仿宋" w:hAnsi="仿宋" w:eastAsia="仿宋" w:cs="仿宋"/>
          <w:spacing w:val="5"/>
          <w:sz w:val="31"/>
          <w:szCs w:val="31"/>
          <w:u w:val="single"/>
        </w:rPr>
        <w:t>1.81</w:t>
      </w:r>
      <w:r>
        <w:rPr>
          <w:rFonts w:ascii="仿宋" w:hAnsi="仿宋" w:eastAsia="仿宋" w:cs="仿宋"/>
          <w:spacing w:val="5"/>
          <w:sz w:val="31"/>
          <w:szCs w:val="31"/>
        </w:rPr>
        <w:t>万元，接待</w:t>
      </w:r>
      <w:r>
        <w:rPr>
          <w:rFonts w:ascii="仿宋" w:hAnsi="仿宋" w:eastAsia="仿宋" w:cs="仿宋"/>
          <w:spacing w:val="5"/>
          <w:sz w:val="31"/>
          <w:szCs w:val="31"/>
          <w:u w:val="single"/>
        </w:rPr>
        <w:t>14</w:t>
      </w:r>
      <w:r>
        <w:rPr>
          <w:rFonts w:ascii="仿宋" w:hAnsi="仿宋" w:eastAsia="仿宋" w:cs="仿宋"/>
          <w:spacing w:val="5"/>
          <w:sz w:val="31"/>
          <w:szCs w:val="31"/>
        </w:rPr>
        <w:t>批次，</w:t>
      </w:r>
      <w:r>
        <w:rPr>
          <w:rFonts w:ascii="仿宋" w:hAnsi="仿宋" w:eastAsia="仿宋" w:cs="仿宋"/>
          <w:spacing w:val="5"/>
          <w:sz w:val="31"/>
          <w:szCs w:val="31"/>
          <w:u w:val="single"/>
        </w:rPr>
        <w:t>147</w:t>
      </w:r>
      <w:r>
        <w:rPr>
          <w:rFonts w:ascii="仿宋" w:hAnsi="仿宋" w:eastAsia="仿宋" w:cs="仿宋"/>
          <w:spacing w:val="5"/>
          <w:sz w:val="31"/>
          <w:szCs w:val="31"/>
        </w:rPr>
        <w:t>人次，开支内容：接待上级工作组来我盟检查调研支出；国（境）外公务接待支出</w:t>
      </w:r>
      <w:r>
        <w:rPr>
          <w:rFonts w:ascii="仿宋" w:hAnsi="仿宋" w:eastAsia="仿宋" w:cs="仿宋"/>
          <w:spacing w:val="5"/>
          <w:sz w:val="31"/>
          <w:szCs w:val="31"/>
          <w:u w:val="single"/>
        </w:rPr>
        <w:t>0.00</w:t>
      </w:r>
      <w:r>
        <w:rPr>
          <w:rFonts w:ascii="仿宋" w:hAnsi="仿宋" w:eastAsia="仿宋" w:cs="仿宋"/>
          <w:spacing w:val="5"/>
          <w:sz w:val="31"/>
          <w:szCs w:val="31"/>
        </w:rPr>
        <w:t>万元，接待</w:t>
      </w:r>
      <w:r>
        <w:rPr>
          <w:rFonts w:ascii="仿宋" w:hAnsi="仿宋" w:eastAsia="仿宋" w:cs="仿宋"/>
          <w:spacing w:val="5"/>
          <w:sz w:val="31"/>
          <w:szCs w:val="31"/>
          <w:u w:val="single"/>
        </w:rPr>
        <w:t>0</w:t>
      </w:r>
      <w:r>
        <w:rPr>
          <w:rFonts w:ascii="仿宋" w:hAnsi="仿宋" w:eastAsia="仿宋" w:cs="仿宋"/>
          <w:spacing w:val="5"/>
          <w:sz w:val="31"/>
          <w:szCs w:val="31"/>
        </w:rPr>
        <w:t>批次，</w:t>
      </w:r>
      <w:r>
        <w:rPr>
          <w:rFonts w:ascii="仿宋" w:hAnsi="仿宋" w:eastAsia="仿宋" w:cs="仿宋"/>
          <w:spacing w:val="5"/>
          <w:sz w:val="31"/>
          <w:szCs w:val="31"/>
          <w:u w:val="single"/>
        </w:rPr>
        <w:t>0</w:t>
      </w:r>
      <w:r>
        <w:rPr>
          <w:rFonts w:ascii="仿宋" w:hAnsi="仿宋" w:eastAsia="仿宋" w:cs="仿宋"/>
          <w:spacing w:val="5"/>
          <w:sz w:val="31"/>
          <w:szCs w:val="31"/>
        </w:rPr>
        <w:t>人次，开支内容：无此项内容。与上年决算相比，增加</w:t>
      </w:r>
      <w:r>
        <w:rPr>
          <w:rFonts w:ascii="仿宋" w:hAnsi="仿宋" w:eastAsia="仿宋" w:cs="仿宋"/>
          <w:spacing w:val="5"/>
          <w:sz w:val="31"/>
          <w:szCs w:val="31"/>
          <w:u w:val="single"/>
        </w:rPr>
        <w:t>1.49</w:t>
      </w:r>
      <w:r>
        <w:rPr>
          <w:rFonts w:ascii="仿宋" w:hAnsi="仿宋" w:eastAsia="仿宋" w:cs="仿宋"/>
          <w:spacing w:val="5"/>
          <w:sz w:val="31"/>
          <w:szCs w:val="31"/>
        </w:rPr>
        <w:t>万元，增长</w:t>
      </w:r>
      <w:r>
        <w:rPr>
          <w:rFonts w:ascii="仿宋" w:hAnsi="仿宋" w:eastAsia="仿宋" w:cs="仿宋"/>
          <w:spacing w:val="5"/>
          <w:sz w:val="31"/>
          <w:szCs w:val="31"/>
          <w:u w:val="single"/>
        </w:rPr>
        <w:t>471.92</w:t>
      </w:r>
      <w:r>
        <w:rPr>
          <w:rFonts w:ascii="仿宋" w:hAnsi="仿宋" w:eastAsia="仿宋" w:cs="仿宋"/>
          <w:spacing w:val="5"/>
          <w:sz w:val="31"/>
          <w:szCs w:val="31"/>
        </w:rPr>
        <w:t>%，变动原因：疫情结束后公务接待任务增多。</w:t>
      </w:r>
    </w:p>
    <w:p w14:paraId="05B259EF">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Times New Roman" w:hAnsi="Times New Roman" w:eastAsia="Times New Roman" w:cs="Times New Roman"/>
          <w:b w:val="0"/>
          <w:bCs w:val="0"/>
          <w:kern w:val="0"/>
          <w:sz w:val="24"/>
        </w:rPr>
      </w:pPr>
      <w:r>
        <w:rPr>
          <w:rFonts w:ascii="黑体" w:hAnsi="黑体" w:eastAsia="黑体" w:cs="黑体"/>
          <w:b w:val="0"/>
          <w:bCs w:val="0"/>
          <w:kern w:val="0"/>
          <w:sz w:val="31"/>
          <w:szCs w:val="31"/>
        </w:rPr>
        <w:t>九、政府性基金预算财政拨款支出决算情况说明</w:t>
      </w:r>
    </w:p>
    <w:p w14:paraId="760B4153">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ascii="仿宋" w:hAnsi="仿宋" w:eastAsia="仿宋" w:cs="仿宋"/>
          <w:spacing w:val="5"/>
          <w:sz w:val="31"/>
          <w:szCs w:val="31"/>
        </w:rPr>
      </w:pPr>
      <w:r>
        <w:rPr>
          <w:rFonts w:ascii="仿宋" w:hAnsi="仿宋" w:eastAsia="仿宋" w:cs="仿宋"/>
          <w:spacing w:val="5"/>
          <w:sz w:val="31"/>
          <w:szCs w:val="31"/>
        </w:rPr>
        <w:t>锡林郭勒盟能源局（部门）2023年度政府性基金预算财政拨款支出决算</w:t>
      </w:r>
      <w:r>
        <w:rPr>
          <w:rFonts w:ascii="仿宋" w:hAnsi="仿宋" w:eastAsia="仿宋" w:cs="仿宋"/>
          <w:spacing w:val="5"/>
          <w:sz w:val="31"/>
          <w:szCs w:val="31"/>
          <w:u w:val="single"/>
        </w:rPr>
        <w:t>0.00</w:t>
      </w:r>
      <w:r>
        <w:rPr>
          <w:rFonts w:ascii="仿宋" w:hAnsi="仿宋" w:eastAsia="仿宋" w:cs="仿宋"/>
          <w:spacing w:val="5"/>
          <w:sz w:val="31"/>
          <w:szCs w:val="31"/>
        </w:rPr>
        <w:t>万元。与上年决算相比，增加（减少）</w:t>
      </w:r>
      <w:r>
        <w:rPr>
          <w:rFonts w:ascii="仿宋" w:hAnsi="仿宋" w:eastAsia="仿宋" w:cs="仿宋"/>
          <w:spacing w:val="5"/>
          <w:sz w:val="31"/>
          <w:szCs w:val="31"/>
          <w:u w:val="single"/>
        </w:rPr>
        <w:t>0.00</w:t>
      </w:r>
      <w:r>
        <w:rPr>
          <w:rFonts w:ascii="仿宋" w:hAnsi="仿宋" w:eastAsia="仿宋" w:cs="仿宋"/>
          <w:spacing w:val="5"/>
          <w:sz w:val="31"/>
          <w:szCs w:val="31"/>
        </w:rPr>
        <w:t>万元，增长（减少）</w:t>
      </w:r>
      <w:r>
        <w:rPr>
          <w:rFonts w:hint="eastAsia" w:ascii="仿宋" w:hAnsi="仿宋" w:eastAsia="仿宋" w:cs="仿宋"/>
          <w:spacing w:val="5"/>
          <w:sz w:val="31"/>
          <w:szCs w:val="31"/>
          <w:u w:val="single"/>
          <w:lang w:val="en-US" w:eastAsia="zh-CN"/>
        </w:rPr>
        <w:t>0</w:t>
      </w:r>
      <w:r>
        <w:rPr>
          <w:rFonts w:ascii="仿宋" w:hAnsi="仿宋" w:eastAsia="仿宋" w:cs="仿宋"/>
          <w:spacing w:val="5"/>
          <w:sz w:val="31"/>
          <w:szCs w:val="31"/>
        </w:rPr>
        <w:t>%，变动原因：本部门无政府性基金预算财政拨款收、支、余。</w:t>
      </w:r>
    </w:p>
    <w:p w14:paraId="63EC936B">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黑体" w:hAnsi="黑体" w:eastAsia="黑体" w:cs="黑体"/>
          <w:b w:val="0"/>
          <w:bCs w:val="0"/>
          <w:kern w:val="0"/>
          <w:sz w:val="31"/>
          <w:szCs w:val="31"/>
        </w:rPr>
      </w:pPr>
      <w:r>
        <w:rPr>
          <w:rFonts w:ascii="黑体" w:hAnsi="黑体" w:eastAsia="黑体" w:cs="黑体"/>
          <w:b w:val="0"/>
          <w:bCs w:val="0"/>
          <w:kern w:val="0"/>
          <w:sz w:val="31"/>
          <w:szCs w:val="31"/>
        </w:rPr>
        <w:t>十、国有资本经营预算财政拨款支出决算情况说明</w:t>
      </w:r>
    </w:p>
    <w:p w14:paraId="2B21FCCF">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ascii="仿宋" w:hAnsi="仿宋" w:eastAsia="仿宋" w:cs="仿宋"/>
          <w:spacing w:val="5"/>
          <w:sz w:val="31"/>
          <w:szCs w:val="31"/>
        </w:rPr>
      </w:pPr>
      <w:r>
        <w:rPr>
          <w:rFonts w:ascii="仿宋" w:hAnsi="仿宋" w:eastAsia="仿宋" w:cs="仿宋"/>
          <w:spacing w:val="5"/>
          <w:sz w:val="31"/>
          <w:szCs w:val="31"/>
        </w:rPr>
        <w:t>锡林郭勒盟能源局（部门）2023年度国有资本经营预算财政拨款支出决算</w:t>
      </w:r>
      <w:r>
        <w:rPr>
          <w:rFonts w:ascii="仿宋" w:hAnsi="仿宋" w:eastAsia="仿宋" w:cs="仿宋"/>
          <w:spacing w:val="5"/>
          <w:sz w:val="31"/>
          <w:szCs w:val="31"/>
          <w:u w:val="single"/>
        </w:rPr>
        <w:t>0.00</w:t>
      </w:r>
      <w:r>
        <w:rPr>
          <w:rFonts w:ascii="仿宋" w:hAnsi="仿宋" w:eastAsia="仿宋" w:cs="仿宋"/>
          <w:spacing w:val="5"/>
          <w:sz w:val="31"/>
          <w:szCs w:val="31"/>
        </w:rPr>
        <w:t>万元。与上年决算相比，增加（减少）</w:t>
      </w:r>
      <w:r>
        <w:rPr>
          <w:rFonts w:ascii="仿宋" w:hAnsi="仿宋" w:eastAsia="仿宋" w:cs="仿宋"/>
          <w:spacing w:val="5"/>
          <w:sz w:val="31"/>
          <w:szCs w:val="31"/>
          <w:u w:val="single"/>
        </w:rPr>
        <w:t>0.00</w:t>
      </w:r>
      <w:r>
        <w:rPr>
          <w:rFonts w:ascii="仿宋" w:hAnsi="仿宋" w:eastAsia="仿宋" w:cs="仿宋"/>
          <w:spacing w:val="5"/>
          <w:sz w:val="31"/>
          <w:szCs w:val="31"/>
        </w:rPr>
        <w:t>万元，增长（减少）</w:t>
      </w:r>
      <w:r>
        <w:rPr>
          <w:rFonts w:hint="eastAsia" w:ascii="仿宋" w:hAnsi="仿宋" w:eastAsia="仿宋" w:cs="仿宋"/>
          <w:spacing w:val="5"/>
          <w:sz w:val="31"/>
          <w:szCs w:val="31"/>
          <w:u w:val="single"/>
          <w:lang w:val="en-US" w:eastAsia="zh-CN"/>
        </w:rPr>
        <w:t>0</w:t>
      </w:r>
      <w:r>
        <w:rPr>
          <w:rFonts w:ascii="仿宋" w:hAnsi="仿宋" w:eastAsia="仿宋" w:cs="仿宋"/>
          <w:spacing w:val="5"/>
          <w:sz w:val="31"/>
          <w:szCs w:val="31"/>
        </w:rPr>
        <w:t>%，变动原因：本部门无国有资本经营预算财政拨款收、支、余。</w:t>
      </w:r>
    </w:p>
    <w:p w14:paraId="4245C7E3">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黑体" w:hAnsi="黑体" w:eastAsia="黑体" w:cs="黑体"/>
          <w:b w:val="0"/>
          <w:bCs w:val="0"/>
          <w:kern w:val="0"/>
          <w:sz w:val="31"/>
          <w:szCs w:val="31"/>
        </w:rPr>
      </w:pPr>
      <w:r>
        <w:rPr>
          <w:rFonts w:ascii="黑体" w:hAnsi="黑体" w:eastAsia="黑体" w:cs="黑体"/>
          <w:b w:val="0"/>
          <w:bCs w:val="0"/>
          <w:kern w:val="0"/>
          <w:sz w:val="31"/>
          <w:szCs w:val="31"/>
        </w:rPr>
        <w:t>十一、机构运行经费支出决算情况说明</w:t>
      </w:r>
    </w:p>
    <w:p w14:paraId="22B13F19">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ascii="仿宋" w:hAnsi="仿宋" w:eastAsia="仿宋" w:cs="仿宋"/>
          <w:spacing w:val="5"/>
          <w:sz w:val="31"/>
          <w:szCs w:val="31"/>
        </w:rPr>
      </w:pPr>
      <w:r>
        <w:rPr>
          <w:rFonts w:ascii="仿宋" w:hAnsi="仿宋" w:eastAsia="仿宋" w:cs="仿宋"/>
          <w:spacing w:val="5"/>
          <w:sz w:val="31"/>
          <w:szCs w:val="31"/>
        </w:rPr>
        <w:t>锡林郭勒盟能源局（部门）2023年度机构运行经费支出决算</w:t>
      </w:r>
      <w:r>
        <w:rPr>
          <w:rFonts w:ascii="仿宋" w:hAnsi="仿宋" w:eastAsia="仿宋" w:cs="仿宋"/>
          <w:spacing w:val="5"/>
          <w:sz w:val="31"/>
          <w:szCs w:val="31"/>
          <w:u w:val="single"/>
        </w:rPr>
        <w:t>135.09</w:t>
      </w:r>
      <w:r>
        <w:rPr>
          <w:rFonts w:ascii="仿宋" w:hAnsi="仿宋" w:eastAsia="仿宋" w:cs="仿宋"/>
          <w:spacing w:val="5"/>
          <w:sz w:val="31"/>
          <w:szCs w:val="31"/>
        </w:rPr>
        <w:t>万元。比上年决算相比，减少</w:t>
      </w:r>
      <w:r>
        <w:rPr>
          <w:rFonts w:ascii="仿宋" w:hAnsi="仿宋" w:eastAsia="仿宋" w:cs="仿宋"/>
          <w:spacing w:val="5"/>
          <w:sz w:val="31"/>
          <w:szCs w:val="31"/>
          <w:u w:val="single"/>
        </w:rPr>
        <w:t>0.69</w:t>
      </w:r>
      <w:r>
        <w:rPr>
          <w:rFonts w:ascii="仿宋" w:hAnsi="仿宋" w:eastAsia="仿宋" w:cs="仿宋"/>
          <w:spacing w:val="5"/>
          <w:sz w:val="31"/>
          <w:szCs w:val="31"/>
        </w:rPr>
        <w:t>万元，减少</w:t>
      </w:r>
      <w:r>
        <w:rPr>
          <w:rFonts w:ascii="仿宋" w:hAnsi="仿宋" w:eastAsia="仿宋" w:cs="仿宋"/>
          <w:spacing w:val="5"/>
          <w:sz w:val="31"/>
          <w:szCs w:val="31"/>
          <w:u w:val="single"/>
        </w:rPr>
        <w:t>0.51</w:t>
      </w:r>
      <w:r>
        <w:rPr>
          <w:rFonts w:ascii="仿宋" w:hAnsi="仿宋" w:eastAsia="仿宋" w:cs="仿宋"/>
          <w:spacing w:val="5"/>
          <w:sz w:val="31"/>
          <w:szCs w:val="31"/>
        </w:rPr>
        <w:t>%，变动原因：</w:t>
      </w:r>
      <w:r>
        <w:rPr>
          <w:rFonts w:hint="eastAsia" w:ascii="仿宋" w:hAnsi="仿宋" w:eastAsia="仿宋" w:cs="仿宋"/>
          <w:spacing w:val="5"/>
          <w:sz w:val="31"/>
          <w:szCs w:val="31"/>
          <w:lang w:val="en-US" w:eastAsia="zh-CN"/>
        </w:rPr>
        <w:t>2023年度印刷费因销售方未及时提供发票等票据未能办理政府采购手续，未在当年支付</w:t>
      </w:r>
      <w:r>
        <w:rPr>
          <w:rFonts w:ascii="仿宋" w:hAnsi="仿宋" w:eastAsia="仿宋" w:cs="仿宋"/>
          <w:spacing w:val="5"/>
          <w:sz w:val="31"/>
          <w:szCs w:val="31"/>
        </w:rPr>
        <w:t>。</w:t>
      </w:r>
    </w:p>
    <w:p w14:paraId="74E18E25">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黑体" w:hAnsi="黑体" w:eastAsia="黑体" w:cs="黑体"/>
          <w:b w:val="0"/>
          <w:bCs w:val="0"/>
          <w:kern w:val="0"/>
          <w:sz w:val="31"/>
          <w:szCs w:val="31"/>
        </w:rPr>
      </w:pPr>
      <w:r>
        <w:rPr>
          <w:rFonts w:ascii="黑体" w:hAnsi="黑体" w:eastAsia="黑体" w:cs="黑体"/>
          <w:b w:val="0"/>
          <w:bCs w:val="0"/>
          <w:kern w:val="0"/>
          <w:sz w:val="31"/>
          <w:szCs w:val="31"/>
        </w:rPr>
        <w:t>十二、政府采购支出决算情况说明</w:t>
      </w:r>
    </w:p>
    <w:p w14:paraId="5D03827A">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ascii="仿宋" w:hAnsi="仿宋" w:eastAsia="仿宋" w:cs="仿宋"/>
          <w:spacing w:val="5"/>
          <w:sz w:val="31"/>
          <w:szCs w:val="31"/>
        </w:rPr>
      </w:pPr>
      <w:r>
        <w:rPr>
          <w:rFonts w:ascii="仿宋" w:hAnsi="仿宋" w:eastAsia="仿宋" w:cs="仿宋"/>
          <w:spacing w:val="5"/>
          <w:sz w:val="31"/>
          <w:szCs w:val="31"/>
        </w:rPr>
        <w:t>锡林郭勒盟能源局（部门）2023年度政府采购支出总额</w:t>
      </w:r>
      <w:r>
        <w:rPr>
          <w:rFonts w:ascii="仿宋" w:hAnsi="仿宋" w:eastAsia="仿宋" w:cs="仿宋"/>
          <w:spacing w:val="5"/>
          <w:sz w:val="31"/>
          <w:szCs w:val="31"/>
          <w:u w:val="single"/>
        </w:rPr>
        <w:t>376.25</w:t>
      </w:r>
      <w:r>
        <w:rPr>
          <w:rFonts w:ascii="仿宋" w:hAnsi="仿宋" w:eastAsia="仿宋" w:cs="仿宋"/>
          <w:spacing w:val="5"/>
          <w:sz w:val="31"/>
          <w:szCs w:val="31"/>
        </w:rPr>
        <w:t>万元，其中：政府采购货物支出</w:t>
      </w:r>
      <w:r>
        <w:rPr>
          <w:rFonts w:ascii="仿宋" w:hAnsi="仿宋" w:eastAsia="仿宋" w:cs="仿宋"/>
          <w:spacing w:val="5"/>
          <w:sz w:val="31"/>
          <w:szCs w:val="31"/>
          <w:u w:val="single"/>
        </w:rPr>
        <w:t>5.13</w:t>
      </w:r>
      <w:r>
        <w:rPr>
          <w:rFonts w:ascii="仿宋" w:hAnsi="仿宋" w:eastAsia="仿宋" w:cs="仿宋"/>
          <w:spacing w:val="5"/>
          <w:sz w:val="31"/>
          <w:szCs w:val="31"/>
        </w:rPr>
        <w:t>万元、政府采购工程支出</w:t>
      </w:r>
      <w:r>
        <w:rPr>
          <w:rFonts w:ascii="仿宋" w:hAnsi="仿宋" w:eastAsia="仿宋" w:cs="仿宋"/>
          <w:spacing w:val="5"/>
          <w:sz w:val="31"/>
          <w:szCs w:val="31"/>
          <w:u w:val="single"/>
        </w:rPr>
        <w:t>0.00</w:t>
      </w:r>
      <w:r>
        <w:rPr>
          <w:rFonts w:ascii="仿宋" w:hAnsi="仿宋" w:eastAsia="仿宋" w:cs="仿宋"/>
          <w:spacing w:val="5"/>
          <w:sz w:val="31"/>
          <w:szCs w:val="31"/>
        </w:rPr>
        <w:t>万元、政府采购服务支出</w:t>
      </w:r>
      <w:r>
        <w:rPr>
          <w:rFonts w:ascii="仿宋" w:hAnsi="仿宋" w:eastAsia="仿宋" w:cs="仿宋"/>
          <w:spacing w:val="5"/>
          <w:sz w:val="31"/>
          <w:szCs w:val="31"/>
          <w:u w:val="single"/>
        </w:rPr>
        <w:t>371.12</w:t>
      </w:r>
      <w:r>
        <w:rPr>
          <w:rFonts w:ascii="仿宋" w:hAnsi="仿宋" w:eastAsia="仿宋" w:cs="仿宋"/>
          <w:spacing w:val="5"/>
          <w:sz w:val="31"/>
          <w:szCs w:val="31"/>
        </w:rPr>
        <w:t>万元。政府采购授予中小企业合同金额</w:t>
      </w:r>
      <w:r>
        <w:rPr>
          <w:rFonts w:ascii="仿宋" w:hAnsi="仿宋" w:eastAsia="仿宋" w:cs="仿宋"/>
          <w:spacing w:val="5"/>
          <w:sz w:val="31"/>
          <w:szCs w:val="31"/>
          <w:u w:val="single"/>
        </w:rPr>
        <w:t>143.11</w:t>
      </w:r>
      <w:r>
        <w:rPr>
          <w:rFonts w:ascii="仿宋" w:hAnsi="仿宋" w:eastAsia="仿宋" w:cs="仿宋"/>
          <w:spacing w:val="5"/>
          <w:sz w:val="31"/>
          <w:szCs w:val="31"/>
        </w:rPr>
        <w:t>万元，占政府采购支出总额的</w:t>
      </w:r>
      <w:r>
        <w:rPr>
          <w:rFonts w:hint="eastAsia" w:ascii="仿宋" w:hAnsi="仿宋" w:eastAsia="仿宋" w:cs="仿宋"/>
          <w:spacing w:val="5"/>
          <w:sz w:val="31"/>
          <w:szCs w:val="31"/>
          <w:u w:val="single"/>
          <w:lang w:val="en-US" w:eastAsia="zh-CN"/>
        </w:rPr>
        <w:t>38</w:t>
      </w:r>
      <w:r>
        <w:rPr>
          <w:rFonts w:ascii="仿宋" w:hAnsi="仿宋" w:eastAsia="仿宋" w:cs="仿宋"/>
          <w:spacing w:val="5"/>
          <w:sz w:val="31"/>
          <w:szCs w:val="31"/>
        </w:rPr>
        <w:t>%，其中：授予小微企业合同金额</w:t>
      </w:r>
      <w:r>
        <w:rPr>
          <w:rFonts w:ascii="仿宋" w:hAnsi="仿宋" w:eastAsia="仿宋" w:cs="仿宋"/>
          <w:spacing w:val="5"/>
          <w:sz w:val="31"/>
          <w:szCs w:val="31"/>
          <w:u w:val="single"/>
        </w:rPr>
        <w:t>17.11</w:t>
      </w:r>
      <w:r>
        <w:rPr>
          <w:rFonts w:ascii="仿宋" w:hAnsi="仿宋" w:eastAsia="仿宋" w:cs="仿宋"/>
          <w:spacing w:val="5"/>
          <w:sz w:val="31"/>
          <w:szCs w:val="31"/>
        </w:rPr>
        <w:t>万元，占政府采购支出总额的</w:t>
      </w:r>
      <w:r>
        <w:rPr>
          <w:rFonts w:hint="eastAsia" w:ascii="仿宋" w:hAnsi="仿宋" w:eastAsia="仿宋" w:cs="仿宋"/>
          <w:spacing w:val="5"/>
          <w:sz w:val="31"/>
          <w:szCs w:val="31"/>
          <w:u w:val="single"/>
          <w:lang w:val="en-US" w:eastAsia="zh-CN"/>
        </w:rPr>
        <w:t>4.5</w:t>
      </w:r>
      <w:r>
        <w:rPr>
          <w:rFonts w:ascii="仿宋" w:hAnsi="仿宋" w:eastAsia="仿宋" w:cs="仿宋"/>
          <w:spacing w:val="5"/>
          <w:sz w:val="31"/>
          <w:szCs w:val="31"/>
        </w:rPr>
        <w:t>%；货物采购授予中小企业合同金额占货物支出金额的</w:t>
      </w:r>
      <w:r>
        <w:rPr>
          <w:rFonts w:hint="eastAsia" w:ascii="仿宋" w:hAnsi="仿宋" w:eastAsia="仿宋" w:cs="仿宋"/>
          <w:spacing w:val="5"/>
          <w:sz w:val="31"/>
          <w:szCs w:val="31"/>
          <w:u w:val="single"/>
          <w:lang w:val="en-US" w:eastAsia="zh-CN"/>
        </w:rPr>
        <w:t>0.00</w:t>
      </w:r>
      <w:r>
        <w:rPr>
          <w:rFonts w:ascii="仿宋" w:hAnsi="仿宋" w:eastAsia="仿宋" w:cs="仿宋"/>
          <w:spacing w:val="5"/>
          <w:sz w:val="31"/>
          <w:szCs w:val="31"/>
        </w:rPr>
        <w:t>%，工程采购授予中小企业合同金额占工程支出金额的</w:t>
      </w:r>
      <w:r>
        <w:rPr>
          <w:rFonts w:hint="eastAsia" w:ascii="仿宋" w:hAnsi="仿宋" w:eastAsia="仿宋" w:cs="仿宋"/>
          <w:spacing w:val="5"/>
          <w:sz w:val="31"/>
          <w:szCs w:val="31"/>
          <w:u w:val="single"/>
          <w:lang w:val="en-US" w:eastAsia="zh-CN"/>
        </w:rPr>
        <w:t>0.00</w:t>
      </w:r>
      <w:r>
        <w:rPr>
          <w:rFonts w:ascii="仿宋" w:hAnsi="仿宋" w:eastAsia="仿宋" w:cs="仿宋"/>
          <w:spacing w:val="5"/>
          <w:sz w:val="31"/>
          <w:szCs w:val="31"/>
        </w:rPr>
        <w:t>%，服务采购授予中小企业合同金额占服务支出金额的</w:t>
      </w:r>
      <w:r>
        <w:rPr>
          <w:rFonts w:hint="eastAsia" w:ascii="仿宋" w:hAnsi="仿宋" w:eastAsia="仿宋" w:cs="仿宋"/>
          <w:spacing w:val="5"/>
          <w:sz w:val="31"/>
          <w:szCs w:val="31"/>
          <w:u w:val="single"/>
          <w:lang w:val="en-US" w:eastAsia="zh-CN"/>
        </w:rPr>
        <w:t>38.6</w:t>
      </w:r>
      <w:r>
        <w:rPr>
          <w:rFonts w:ascii="仿宋" w:hAnsi="仿宋" w:eastAsia="仿宋" w:cs="仿宋"/>
          <w:spacing w:val="5"/>
          <w:sz w:val="31"/>
          <w:szCs w:val="31"/>
        </w:rPr>
        <w:t>%。</w:t>
      </w:r>
    </w:p>
    <w:p w14:paraId="46FE891E">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黑体" w:hAnsi="黑体" w:eastAsia="黑体" w:cs="黑体"/>
          <w:b w:val="0"/>
          <w:bCs w:val="0"/>
          <w:kern w:val="0"/>
          <w:sz w:val="31"/>
          <w:szCs w:val="31"/>
        </w:rPr>
      </w:pPr>
      <w:r>
        <w:rPr>
          <w:rFonts w:ascii="黑体" w:hAnsi="黑体" w:eastAsia="黑体" w:cs="黑体"/>
          <w:b w:val="0"/>
          <w:bCs w:val="0"/>
          <w:kern w:val="0"/>
          <w:sz w:val="31"/>
          <w:szCs w:val="31"/>
        </w:rPr>
        <w:t>十三、国有资产占用情况说明</w:t>
      </w:r>
    </w:p>
    <w:p w14:paraId="125E2ADA">
      <w:pPr>
        <w:keepNext w:val="0"/>
        <w:keepLines w:val="0"/>
        <w:pageBreakBefore w:val="0"/>
        <w:widowControl w:val="0"/>
        <w:kinsoku/>
        <w:wordWrap/>
        <w:overflowPunct/>
        <w:topLinePunct w:val="0"/>
        <w:autoSpaceDE/>
        <w:autoSpaceDN/>
        <w:bidi w:val="0"/>
        <w:adjustRightInd/>
        <w:snapToGrid/>
        <w:spacing w:line="360" w:lineRule="auto"/>
        <w:ind w:left="0" w:right="0" w:firstLine="540" w:firstLineChars="200"/>
        <w:jc w:val="both"/>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ascii="仿宋" w:hAnsi="仿宋" w:eastAsia="仿宋" w:cs="仿宋"/>
          <w:spacing w:val="5"/>
          <w:sz w:val="31"/>
          <w:szCs w:val="31"/>
        </w:rPr>
        <w:t>锡林郭勒盟能源局（部门）截至2023年12月31日，本部门（单位）共有车辆</w:t>
      </w:r>
      <w:r>
        <w:rPr>
          <w:rFonts w:ascii="仿宋" w:hAnsi="仿宋" w:eastAsia="仿宋" w:cs="仿宋"/>
          <w:spacing w:val="5"/>
          <w:sz w:val="31"/>
          <w:szCs w:val="31"/>
          <w:u w:val="single"/>
        </w:rPr>
        <w:t>2</w:t>
      </w:r>
      <w:r>
        <w:rPr>
          <w:rFonts w:ascii="仿宋" w:hAnsi="仿宋" w:eastAsia="仿宋" w:cs="仿宋"/>
          <w:spacing w:val="5"/>
          <w:sz w:val="31"/>
          <w:szCs w:val="31"/>
        </w:rPr>
        <w:t>辆，其中：副部（省）级及以上领导用车</w:t>
      </w:r>
      <w:r>
        <w:rPr>
          <w:rFonts w:ascii="仿宋" w:hAnsi="仿宋" w:eastAsia="仿宋" w:cs="仿宋"/>
          <w:spacing w:val="5"/>
          <w:sz w:val="31"/>
          <w:szCs w:val="31"/>
          <w:u w:val="single"/>
        </w:rPr>
        <w:t>0</w:t>
      </w:r>
      <w:r>
        <w:rPr>
          <w:rFonts w:ascii="仿宋" w:hAnsi="仿宋" w:eastAsia="仿宋" w:cs="仿宋"/>
          <w:spacing w:val="5"/>
          <w:sz w:val="31"/>
          <w:szCs w:val="31"/>
        </w:rPr>
        <w:t>辆、主要负责人用车</w:t>
      </w:r>
      <w:r>
        <w:rPr>
          <w:rFonts w:ascii="仿宋" w:hAnsi="仿宋" w:eastAsia="仿宋" w:cs="仿宋"/>
          <w:spacing w:val="5"/>
          <w:sz w:val="31"/>
          <w:szCs w:val="31"/>
          <w:u w:val="single"/>
        </w:rPr>
        <w:t>0</w:t>
      </w:r>
      <w:r>
        <w:rPr>
          <w:rFonts w:ascii="仿宋" w:hAnsi="仿宋" w:eastAsia="仿宋" w:cs="仿宋"/>
          <w:spacing w:val="5"/>
          <w:sz w:val="31"/>
          <w:szCs w:val="31"/>
        </w:rPr>
        <w:t>辆、机要通信用车</w:t>
      </w:r>
      <w:r>
        <w:rPr>
          <w:rFonts w:ascii="仿宋" w:hAnsi="仿宋" w:eastAsia="仿宋" w:cs="仿宋"/>
          <w:spacing w:val="5"/>
          <w:sz w:val="31"/>
          <w:szCs w:val="31"/>
          <w:u w:val="single"/>
        </w:rPr>
        <w:t>2</w:t>
      </w:r>
      <w:r>
        <w:rPr>
          <w:rFonts w:ascii="仿宋" w:hAnsi="仿宋" w:eastAsia="仿宋" w:cs="仿宋"/>
          <w:spacing w:val="5"/>
          <w:sz w:val="31"/>
          <w:szCs w:val="31"/>
        </w:rPr>
        <w:t>辆、应急保障用车</w:t>
      </w:r>
      <w:r>
        <w:rPr>
          <w:rFonts w:ascii="仿宋" w:hAnsi="仿宋" w:eastAsia="仿宋" w:cs="仿宋"/>
          <w:spacing w:val="5"/>
          <w:sz w:val="31"/>
          <w:szCs w:val="31"/>
          <w:u w:val="single"/>
        </w:rPr>
        <w:t>0</w:t>
      </w:r>
      <w:r>
        <w:rPr>
          <w:rFonts w:ascii="仿宋" w:hAnsi="仿宋" w:eastAsia="仿宋" w:cs="仿宋"/>
          <w:spacing w:val="5"/>
          <w:sz w:val="31"/>
          <w:szCs w:val="31"/>
        </w:rPr>
        <w:t>辆、执法执勤用车</w:t>
      </w:r>
      <w:r>
        <w:rPr>
          <w:rFonts w:ascii="仿宋" w:hAnsi="仿宋" w:eastAsia="仿宋" w:cs="仿宋"/>
          <w:spacing w:val="5"/>
          <w:sz w:val="31"/>
          <w:szCs w:val="31"/>
          <w:u w:val="single"/>
        </w:rPr>
        <w:t>0</w:t>
      </w:r>
      <w:r>
        <w:rPr>
          <w:rFonts w:ascii="仿宋" w:hAnsi="仿宋" w:eastAsia="仿宋" w:cs="仿宋"/>
          <w:spacing w:val="5"/>
          <w:sz w:val="31"/>
          <w:szCs w:val="31"/>
        </w:rPr>
        <w:t>辆、特种专业技术用车</w:t>
      </w:r>
      <w:r>
        <w:rPr>
          <w:rFonts w:ascii="仿宋" w:hAnsi="仿宋" w:eastAsia="仿宋" w:cs="仿宋"/>
          <w:spacing w:val="5"/>
          <w:sz w:val="31"/>
          <w:szCs w:val="31"/>
          <w:u w:val="single"/>
        </w:rPr>
        <w:t>0</w:t>
      </w:r>
      <w:r>
        <w:rPr>
          <w:rFonts w:ascii="仿宋" w:hAnsi="仿宋" w:eastAsia="仿宋" w:cs="仿宋"/>
          <w:spacing w:val="5"/>
          <w:sz w:val="31"/>
          <w:szCs w:val="31"/>
        </w:rPr>
        <w:t>辆、离退休干部服务用车</w:t>
      </w:r>
      <w:r>
        <w:rPr>
          <w:rFonts w:ascii="仿宋" w:hAnsi="仿宋" w:eastAsia="仿宋" w:cs="仿宋"/>
          <w:spacing w:val="5"/>
          <w:sz w:val="31"/>
          <w:szCs w:val="31"/>
          <w:u w:val="single"/>
        </w:rPr>
        <w:t>0</w:t>
      </w:r>
      <w:r>
        <w:rPr>
          <w:rFonts w:ascii="仿宋" w:hAnsi="仿宋" w:eastAsia="仿宋" w:cs="仿宋"/>
          <w:spacing w:val="5"/>
          <w:sz w:val="31"/>
          <w:szCs w:val="31"/>
        </w:rPr>
        <w:t>辆，其他用车</w:t>
      </w:r>
      <w:r>
        <w:rPr>
          <w:rFonts w:ascii="仿宋" w:hAnsi="仿宋" w:eastAsia="仿宋" w:cs="仿宋"/>
          <w:spacing w:val="5"/>
          <w:sz w:val="31"/>
          <w:szCs w:val="31"/>
          <w:u w:val="single"/>
        </w:rPr>
        <w:t>0</w:t>
      </w:r>
      <w:r>
        <w:rPr>
          <w:rFonts w:ascii="仿宋" w:hAnsi="仿宋" w:eastAsia="仿宋" w:cs="仿宋"/>
          <w:spacing w:val="5"/>
          <w:sz w:val="31"/>
          <w:szCs w:val="31"/>
        </w:rPr>
        <w:t>辆；单价</w:t>
      </w:r>
      <w:r>
        <w:rPr>
          <w:rFonts w:ascii="仿宋" w:hAnsi="仿宋" w:eastAsia="仿宋" w:cs="仿宋"/>
          <w:spacing w:val="5"/>
          <w:sz w:val="31"/>
          <w:szCs w:val="31"/>
          <w:u w:val="none"/>
        </w:rPr>
        <w:t>100</w:t>
      </w:r>
      <w:r>
        <w:rPr>
          <w:rFonts w:ascii="仿宋" w:hAnsi="仿宋" w:eastAsia="仿宋" w:cs="仿宋"/>
          <w:spacing w:val="5"/>
          <w:sz w:val="31"/>
          <w:szCs w:val="31"/>
        </w:rPr>
        <w:t>万元（含）以上的设备（不含车辆）</w:t>
      </w:r>
      <w:r>
        <w:rPr>
          <w:rFonts w:ascii="仿宋" w:hAnsi="仿宋" w:eastAsia="仿宋" w:cs="仿宋"/>
          <w:spacing w:val="5"/>
          <w:sz w:val="31"/>
          <w:szCs w:val="31"/>
          <w:u w:val="single"/>
        </w:rPr>
        <w:t>0</w:t>
      </w:r>
      <w:r>
        <w:rPr>
          <w:rFonts w:ascii="仿宋" w:hAnsi="仿宋" w:eastAsia="仿宋" w:cs="仿宋"/>
          <w:spacing w:val="5"/>
          <w:sz w:val="31"/>
          <w:szCs w:val="31"/>
        </w:rPr>
        <w:t>台（套）。</w:t>
      </w:r>
    </w:p>
    <w:p w14:paraId="3CC06EA0">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黑体" w:hAnsi="黑体" w:eastAsia="黑体" w:cs="黑体"/>
          <w:b w:val="0"/>
          <w:bCs w:val="0"/>
          <w:kern w:val="0"/>
          <w:sz w:val="31"/>
          <w:szCs w:val="31"/>
        </w:rPr>
      </w:pPr>
      <w:r>
        <w:rPr>
          <w:rFonts w:ascii="黑体" w:hAnsi="黑体" w:eastAsia="黑体" w:cs="黑体"/>
          <w:b w:val="0"/>
          <w:bCs w:val="0"/>
          <w:kern w:val="0"/>
          <w:sz w:val="31"/>
          <w:szCs w:val="31"/>
        </w:rPr>
        <w:t>十四、预算绩效情况说明</w:t>
      </w:r>
    </w:p>
    <w:p w14:paraId="436A753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（一）预算绩效管理工作开展情况。</w:t>
      </w:r>
    </w:p>
    <w:p w14:paraId="6DAAA11D">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ascii="楷体" w:hAnsi="楷体" w:eastAsia="楷体" w:cs="楷体"/>
          <w:spacing w:val="5"/>
          <w:sz w:val="31"/>
          <w:szCs w:val="31"/>
        </w:rPr>
      </w:pPr>
      <w:r>
        <w:rPr>
          <w:rFonts w:ascii="仿宋" w:hAnsi="仿宋" w:eastAsia="仿宋" w:cs="仿宋"/>
          <w:spacing w:val="5"/>
          <w:sz w:val="31"/>
          <w:szCs w:val="31"/>
        </w:rPr>
        <w:t>锡林郭勒盟能源局（部门）根据预算绩效管理要求组织对2023年一般公共预算项目支出全面开展绩效自评，其中一级项目</w:t>
      </w:r>
      <w:r>
        <w:rPr>
          <w:rFonts w:hint="eastAsia" w:ascii="仿宋" w:hAnsi="仿宋" w:eastAsia="仿宋" w:cs="仿宋"/>
          <w:spacing w:val="5"/>
          <w:sz w:val="31"/>
          <w:szCs w:val="31"/>
          <w:u w:val="single"/>
          <w:lang w:val="en-US" w:eastAsia="zh-CN"/>
        </w:rPr>
        <w:t>22</w:t>
      </w:r>
      <w:r>
        <w:rPr>
          <w:rFonts w:ascii="仿宋" w:hAnsi="仿宋" w:eastAsia="仿宋" w:cs="仿宋"/>
          <w:spacing w:val="5"/>
          <w:sz w:val="31"/>
          <w:szCs w:val="31"/>
        </w:rPr>
        <w:t>个，二级项目</w:t>
      </w:r>
      <w:r>
        <w:rPr>
          <w:rFonts w:hint="eastAsia" w:ascii="仿宋" w:hAnsi="仿宋" w:eastAsia="仿宋" w:cs="仿宋"/>
          <w:spacing w:val="5"/>
          <w:sz w:val="31"/>
          <w:szCs w:val="31"/>
          <w:u w:val="single"/>
          <w:lang w:val="en-US" w:eastAsia="zh-CN"/>
        </w:rPr>
        <w:t>0</w:t>
      </w:r>
      <w:r>
        <w:rPr>
          <w:rFonts w:ascii="仿宋" w:hAnsi="仿宋" w:eastAsia="仿宋" w:cs="仿宋"/>
          <w:spacing w:val="5"/>
          <w:sz w:val="31"/>
          <w:szCs w:val="31"/>
        </w:rPr>
        <w:t>个，共涉及资金</w:t>
      </w:r>
      <w:r>
        <w:rPr>
          <w:rFonts w:hint="eastAsia" w:ascii="仿宋" w:hAnsi="仿宋" w:eastAsia="仿宋" w:cs="仿宋"/>
          <w:spacing w:val="5"/>
          <w:sz w:val="31"/>
          <w:szCs w:val="31"/>
          <w:u w:val="single"/>
          <w:lang w:val="en-US" w:eastAsia="zh-CN"/>
        </w:rPr>
        <w:t>1470.55</w:t>
      </w:r>
      <w:r>
        <w:rPr>
          <w:rFonts w:ascii="仿宋" w:hAnsi="仿宋" w:eastAsia="仿宋" w:cs="仿宋"/>
          <w:spacing w:val="5"/>
          <w:sz w:val="31"/>
          <w:szCs w:val="31"/>
        </w:rPr>
        <w:t>万元，占一般公共预算项目支出总额的</w:t>
      </w:r>
      <w:r>
        <w:rPr>
          <w:rFonts w:ascii="仿宋" w:hAnsi="仿宋" w:eastAsia="仿宋" w:cs="仿宋"/>
          <w:spacing w:val="5"/>
          <w:sz w:val="31"/>
          <w:szCs w:val="31"/>
          <w:u w:val="single"/>
        </w:rPr>
        <w:t>100</w:t>
      </w:r>
      <w:r>
        <w:rPr>
          <w:rFonts w:ascii="仿宋" w:hAnsi="仿宋" w:eastAsia="仿宋" w:cs="仿宋"/>
          <w:spacing w:val="5"/>
          <w:sz w:val="31"/>
          <w:szCs w:val="31"/>
        </w:rPr>
        <w:t>%；政府性基金预算项目</w:t>
      </w:r>
      <w:r>
        <w:rPr>
          <w:rFonts w:hint="eastAsia" w:ascii="仿宋" w:hAnsi="仿宋" w:eastAsia="仿宋" w:cs="仿宋"/>
          <w:spacing w:val="5"/>
          <w:sz w:val="31"/>
          <w:szCs w:val="31"/>
          <w:u w:val="single"/>
          <w:lang w:val="en-US" w:eastAsia="zh-CN"/>
        </w:rPr>
        <w:t>0</w:t>
      </w:r>
      <w:r>
        <w:rPr>
          <w:rFonts w:ascii="仿宋" w:hAnsi="仿宋" w:eastAsia="仿宋" w:cs="仿宋"/>
          <w:spacing w:val="5"/>
          <w:sz w:val="31"/>
          <w:szCs w:val="31"/>
        </w:rPr>
        <w:t>个，其中，一级项目</w:t>
      </w:r>
      <w:r>
        <w:rPr>
          <w:rFonts w:hint="eastAsia" w:ascii="仿宋" w:hAnsi="仿宋" w:eastAsia="仿宋" w:cs="仿宋"/>
          <w:spacing w:val="5"/>
          <w:sz w:val="31"/>
          <w:szCs w:val="31"/>
          <w:u w:val="single"/>
          <w:lang w:val="en-US" w:eastAsia="zh-CN"/>
        </w:rPr>
        <w:t>0</w:t>
      </w:r>
      <w:r>
        <w:rPr>
          <w:rFonts w:ascii="仿宋" w:hAnsi="仿宋" w:eastAsia="仿宋" w:cs="仿宋"/>
          <w:spacing w:val="5"/>
          <w:sz w:val="31"/>
          <w:szCs w:val="31"/>
        </w:rPr>
        <w:t>个，二级项目</w:t>
      </w:r>
      <w:r>
        <w:rPr>
          <w:rFonts w:hint="eastAsia" w:ascii="仿宋" w:hAnsi="仿宋" w:eastAsia="仿宋" w:cs="仿宋"/>
          <w:spacing w:val="5"/>
          <w:sz w:val="31"/>
          <w:szCs w:val="31"/>
          <w:u w:val="single"/>
          <w:lang w:val="en-US" w:eastAsia="zh-CN"/>
        </w:rPr>
        <w:t>0</w:t>
      </w:r>
      <w:r>
        <w:rPr>
          <w:rFonts w:ascii="仿宋" w:hAnsi="仿宋" w:eastAsia="仿宋" w:cs="仿宋"/>
          <w:spacing w:val="5"/>
          <w:sz w:val="31"/>
          <w:szCs w:val="31"/>
        </w:rPr>
        <w:t>个，共涉及资金</w:t>
      </w:r>
      <w:r>
        <w:rPr>
          <w:rFonts w:hint="eastAsia" w:ascii="仿宋" w:hAnsi="仿宋" w:eastAsia="仿宋" w:cs="仿宋"/>
          <w:spacing w:val="5"/>
          <w:sz w:val="31"/>
          <w:szCs w:val="31"/>
          <w:u w:val="single"/>
          <w:lang w:val="en-US" w:eastAsia="zh-CN"/>
        </w:rPr>
        <w:t>0.00</w:t>
      </w:r>
      <w:r>
        <w:rPr>
          <w:rFonts w:ascii="仿宋" w:hAnsi="仿宋" w:eastAsia="仿宋" w:cs="仿宋"/>
          <w:spacing w:val="5"/>
          <w:sz w:val="31"/>
          <w:szCs w:val="31"/>
        </w:rPr>
        <w:t>万元，占应纳入绩效自评的政府性基金预算项目支出总额的</w:t>
      </w:r>
      <w:r>
        <w:rPr>
          <w:rFonts w:ascii="仿宋" w:hAnsi="仿宋" w:eastAsia="仿宋" w:cs="仿宋"/>
          <w:spacing w:val="5"/>
          <w:sz w:val="31"/>
          <w:szCs w:val="31"/>
          <w:u w:val="single"/>
        </w:rPr>
        <w:t>100</w:t>
      </w:r>
      <w:r>
        <w:rPr>
          <w:rFonts w:ascii="仿宋" w:hAnsi="仿宋" w:eastAsia="仿宋" w:cs="仿宋"/>
          <w:spacing w:val="5"/>
          <w:sz w:val="31"/>
          <w:szCs w:val="31"/>
        </w:rPr>
        <w:t>%。</w:t>
      </w:r>
    </w:p>
    <w:p w14:paraId="234CC00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（二）部门（单位）决算中项目绩效自评结果。</w:t>
      </w:r>
    </w:p>
    <w:p w14:paraId="4F363317">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ascii="仿宋" w:hAnsi="仿宋" w:eastAsia="仿宋" w:cs="仿宋"/>
          <w:spacing w:val="5"/>
          <w:sz w:val="31"/>
          <w:szCs w:val="31"/>
        </w:rPr>
      </w:pPr>
      <w:r>
        <w:rPr>
          <w:rFonts w:ascii="仿宋" w:hAnsi="仿宋" w:eastAsia="仿宋" w:cs="仿宋"/>
          <w:spacing w:val="5"/>
          <w:sz w:val="31"/>
          <w:szCs w:val="31"/>
        </w:rPr>
        <w:t>锡林郭勒盟能源局（部门）2023年度在决算中反映</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煤矿安全生产评估费</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安全检查</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能源项目前期费</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新能源调相机布局规划</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东乌旗农乃庙煤炭矿区总体规划评审费</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等5</w:t>
      </w:r>
      <w:r>
        <w:rPr>
          <w:rFonts w:ascii="仿宋" w:hAnsi="仿宋" w:eastAsia="仿宋" w:cs="仿宋"/>
          <w:spacing w:val="5"/>
          <w:sz w:val="31"/>
          <w:szCs w:val="31"/>
        </w:rPr>
        <w:t>个一般公共预算项目，共</w:t>
      </w:r>
      <w:r>
        <w:rPr>
          <w:rFonts w:hint="eastAsia" w:ascii="仿宋" w:hAnsi="仿宋" w:eastAsia="仿宋" w:cs="仿宋"/>
          <w:spacing w:val="5"/>
          <w:sz w:val="31"/>
          <w:szCs w:val="31"/>
          <w:lang w:val="en-US" w:eastAsia="zh-CN"/>
        </w:rPr>
        <w:t>5</w:t>
      </w:r>
      <w:r>
        <w:rPr>
          <w:rFonts w:ascii="仿宋" w:hAnsi="仿宋" w:eastAsia="仿宋" w:cs="仿宋"/>
          <w:spacing w:val="5"/>
          <w:sz w:val="31"/>
          <w:szCs w:val="31"/>
        </w:rPr>
        <w:t>个项目的绩效自评结果。</w:t>
      </w:r>
    </w:p>
    <w:p w14:paraId="127D77B8">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spacing w:val="5"/>
          <w:sz w:val="31"/>
          <w:szCs w:val="31"/>
          <w:lang w:eastAsia="zh-CN"/>
        </w:rPr>
      </w:pPr>
      <w:r>
        <w:rPr>
          <w:rFonts w:ascii="仿宋" w:hAnsi="仿宋" w:eastAsia="仿宋" w:cs="仿宋"/>
          <w:spacing w:val="5"/>
          <w:sz w:val="31"/>
          <w:szCs w:val="31"/>
        </w:rPr>
        <w:t>1.</w:t>
      </w:r>
      <w:r>
        <w:rPr>
          <w:rFonts w:hint="eastAsia" w:ascii="仿宋" w:hAnsi="仿宋" w:eastAsia="仿宋" w:cs="仿宋"/>
          <w:spacing w:val="5"/>
          <w:sz w:val="31"/>
          <w:szCs w:val="31"/>
          <w:lang w:val="en-US" w:eastAsia="zh-CN"/>
        </w:rPr>
        <w:t>煤矿安全生产评估费</w:t>
      </w:r>
      <w:r>
        <w:rPr>
          <w:rFonts w:hint="eastAsia" w:ascii="仿宋" w:hAnsi="仿宋" w:eastAsia="仿宋" w:cs="仿宋"/>
          <w:spacing w:val="5"/>
          <w:sz w:val="31"/>
          <w:szCs w:val="31"/>
          <w:lang w:eastAsia="zh-CN"/>
        </w:rPr>
        <w:t>项目自评综述：根据年初设定的绩效目标，项目自评得分</w:t>
      </w:r>
      <w:r>
        <w:rPr>
          <w:rFonts w:hint="eastAsia" w:ascii="仿宋" w:hAnsi="仿宋" w:eastAsia="仿宋" w:cs="仿宋"/>
          <w:spacing w:val="5"/>
          <w:sz w:val="31"/>
          <w:szCs w:val="31"/>
          <w:u w:val="single"/>
          <w:lang w:val="en-US" w:eastAsia="zh-CN"/>
        </w:rPr>
        <w:t>92.83</w:t>
      </w:r>
      <w:r>
        <w:rPr>
          <w:rFonts w:hint="eastAsia" w:ascii="仿宋" w:hAnsi="仿宋" w:eastAsia="仿宋" w:cs="仿宋"/>
          <w:spacing w:val="5"/>
          <w:sz w:val="31"/>
          <w:szCs w:val="31"/>
          <w:lang w:eastAsia="zh-CN"/>
        </w:rPr>
        <w:t>分。全年预算数为</w:t>
      </w:r>
      <w:r>
        <w:rPr>
          <w:rFonts w:hint="eastAsia" w:ascii="仿宋" w:hAnsi="仿宋" w:eastAsia="仿宋" w:cs="仿宋"/>
          <w:spacing w:val="5"/>
          <w:sz w:val="31"/>
          <w:szCs w:val="31"/>
          <w:u w:val="single"/>
          <w:lang w:val="en-US" w:eastAsia="zh-CN"/>
        </w:rPr>
        <w:t>81.46</w:t>
      </w:r>
      <w:r>
        <w:rPr>
          <w:rFonts w:hint="eastAsia" w:ascii="仿宋" w:hAnsi="仿宋" w:eastAsia="仿宋" w:cs="仿宋"/>
          <w:spacing w:val="5"/>
          <w:sz w:val="31"/>
          <w:szCs w:val="31"/>
          <w:lang w:eastAsia="zh-CN"/>
        </w:rPr>
        <w:t>万元，执行数为</w:t>
      </w:r>
      <w:r>
        <w:rPr>
          <w:rFonts w:hint="eastAsia" w:ascii="仿宋" w:hAnsi="仿宋" w:eastAsia="仿宋" w:cs="仿宋"/>
          <w:spacing w:val="5"/>
          <w:sz w:val="31"/>
          <w:szCs w:val="31"/>
          <w:u w:val="single"/>
          <w:lang w:val="en-US" w:eastAsia="zh-CN"/>
        </w:rPr>
        <w:t>63.8</w:t>
      </w:r>
      <w:r>
        <w:rPr>
          <w:rFonts w:hint="eastAsia" w:ascii="仿宋" w:hAnsi="仿宋" w:eastAsia="仿宋" w:cs="仿宋"/>
          <w:spacing w:val="5"/>
          <w:sz w:val="31"/>
          <w:szCs w:val="31"/>
          <w:lang w:eastAsia="zh-CN"/>
        </w:rPr>
        <w:t>万元，完成预算的</w:t>
      </w:r>
      <w:r>
        <w:rPr>
          <w:rFonts w:hint="eastAsia" w:ascii="仿宋" w:hAnsi="仿宋" w:eastAsia="仿宋" w:cs="仿宋"/>
          <w:spacing w:val="5"/>
          <w:sz w:val="31"/>
          <w:szCs w:val="31"/>
          <w:u w:val="single"/>
          <w:lang w:val="en-US" w:eastAsia="zh-CN"/>
        </w:rPr>
        <w:t>78.32</w:t>
      </w:r>
      <w:r>
        <w:rPr>
          <w:rFonts w:hint="eastAsia" w:ascii="仿宋" w:hAnsi="仿宋" w:eastAsia="仿宋" w:cs="仿宋"/>
          <w:spacing w:val="5"/>
          <w:sz w:val="31"/>
          <w:szCs w:val="31"/>
          <w:lang w:eastAsia="zh-CN"/>
        </w:rPr>
        <w:t>%。项目绩效目标完成情况：安全评估井工煤矿数量完成7户，安全评估露天煤矿数量完成4户，项目完成时间1年，评估完成率100%，项目完成率100%，评估工作差旅费0万元，聘请第三方委托费63.8万元，</w:t>
      </w:r>
      <w:r>
        <w:rPr>
          <w:rFonts w:hint="eastAsia" w:ascii="仿宋" w:hAnsi="仿宋" w:eastAsia="仿宋" w:cs="仿宋"/>
          <w:spacing w:val="5"/>
          <w:sz w:val="31"/>
          <w:szCs w:val="31"/>
          <w:lang w:val="en-US" w:eastAsia="zh-CN"/>
        </w:rPr>
        <w:t>基本</w:t>
      </w:r>
      <w:r>
        <w:rPr>
          <w:rFonts w:hint="eastAsia" w:ascii="仿宋" w:hAnsi="仿宋" w:eastAsia="仿宋" w:cs="仿宋"/>
          <w:spacing w:val="5"/>
          <w:sz w:val="31"/>
          <w:szCs w:val="31"/>
          <w:lang w:eastAsia="zh-CN"/>
        </w:rPr>
        <w:t>完成了年初设定的绩效目标。发现的主要问题及原因：</w:t>
      </w:r>
      <w:r>
        <w:rPr>
          <w:rFonts w:hint="eastAsia" w:ascii="仿宋" w:hAnsi="仿宋" w:eastAsia="仿宋" w:cs="仿宋"/>
          <w:spacing w:val="5"/>
          <w:sz w:val="31"/>
          <w:szCs w:val="31"/>
          <w:lang w:val="en-US" w:eastAsia="zh-CN"/>
        </w:rPr>
        <w:t>差旅费未按照年初设定的成本指标执行</w:t>
      </w:r>
      <w:r>
        <w:rPr>
          <w:rFonts w:hint="eastAsia" w:ascii="仿宋" w:hAnsi="仿宋" w:eastAsia="仿宋" w:cs="仿宋"/>
          <w:spacing w:val="5"/>
          <w:sz w:val="31"/>
          <w:szCs w:val="31"/>
          <w:lang w:eastAsia="zh-CN"/>
        </w:rPr>
        <w:t>。下一步改进措施：加强项目绩效管理和业务工作督促，进一步发挥项目资金的</w:t>
      </w:r>
      <w:r>
        <w:rPr>
          <w:rFonts w:hint="eastAsia" w:ascii="仿宋" w:hAnsi="仿宋" w:eastAsia="仿宋" w:cs="仿宋"/>
          <w:spacing w:val="5"/>
          <w:sz w:val="31"/>
          <w:szCs w:val="31"/>
          <w:lang w:val="en-US" w:eastAsia="zh-CN"/>
        </w:rPr>
        <w:t>最</w:t>
      </w:r>
      <w:r>
        <w:rPr>
          <w:rFonts w:hint="eastAsia" w:ascii="仿宋" w:hAnsi="仿宋" w:eastAsia="仿宋" w:cs="仿宋"/>
          <w:spacing w:val="5"/>
          <w:sz w:val="31"/>
          <w:szCs w:val="31"/>
          <w:lang w:eastAsia="zh-CN"/>
        </w:rPr>
        <w:t>大使用效益，完善资金管理制度，规范项目绩效管理，提高项目绩效编制</w:t>
      </w:r>
      <w:r>
        <w:rPr>
          <w:rFonts w:hint="eastAsia" w:ascii="仿宋" w:hAnsi="仿宋" w:eastAsia="仿宋" w:cs="仿宋"/>
          <w:spacing w:val="5"/>
          <w:sz w:val="31"/>
          <w:szCs w:val="31"/>
          <w:lang w:val="en-US" w:eastAsia="zh-CN"/>
        </w:rPr>
        <w:t>质量</w:t>
      </w:r>
      <w:r>
        <w:rPr>
          <w:rFonts w:hint="eastAsia" w:ascii="仿宋" w:hAnsi="仿宋" w:eastAsia="仿宋" w:cs="仿宋"/>
          <w:spacing w:val="5"/>
          <w:sz w:val="31"/>
          <w:szCs w:val="31"/>
          <w:lang w:eastAsia="zh-CN"/>
        </w:rPr>
        <w:t>，提高资金使用率。</w:t>
      </w:r>
    </w:p>
    <w:p w14:paraId="03804F37">
      <w:pPr>
        <w:keepNext w:val="0"/>
        <w:keepLines w:val="0"/>
        <w:pageBreakBefore w:val="0"/>
        <w:widowControl w:val="0"/>
        <w:kinsoku/>
        <w:wordWrap/>
        <w:overflowPunct/>
        <w:topLinePunct w:val="0"/>
        <w:autoSpaceDE/>
        <w:autoSpaceDN/>
        <w:bidi w:val="0"/>
        <w:adjustRightInd/>
        <w:snapToGrid/>
        <w:spacing w:line="360" w:lineRule="auto"/>
        <w:ind w:left="0" w:right="0" w:firstLine="540" w:firstLineChars="200"/>
        <w:jc w:val="both"/>
        <w:textAlignment w:val="auto"/>
        <w:rPr>
          <w:rFonts w:hint="eastAsia" w:ascii="仿宋" w:hAnsi="仿宋" w:eastAsia="仿宋" w:cs="仿宋"/>
          <w:spacing w:val="5"/>
          <w:sz w:val="31"/>
          <w:szCs w:val="31"/>
          <w:lang w:eastAsia="zh-CN"/>
        </w:rPr>
      </w:pPr>
      <w:r>
        <w:rPr>
          <w:rFonts w:ascii="fang_song_gb2312" w:hAnsi="fang_song_gb2312" w:eastAsia="fang_song_gb2312" w:cs="fang_song_gb2312"/>
          <w:kern w:val="0"/>
          <w:sz w:val="27"/>
          <w:szCs w:val="27"/>
        </w:rPr>
        <w:t xml:space="preserve">  </w:t>
      </w:r>
      <w:r>
        <w:rPr>
          <w:rFonts w:ascii="仿宋" w:hAnsi="仿宋" w:eastAsia="仿宋" w:cs="仿宋"/>
          <w:spacing w:val="5"/>
          <w:sz w:val="31"/>
          <w:szCs w:val="31"/>
        </w:rPr>
        <w:t>2.</w:t>
      </w:r>
      <w:r>
        <w:rPr>
          <w:rFonts w:hint="eastAsia" w:ascii="仿宋" w:hAnsi="仿宋" w:eastAsia="仿宋" w:cs="仿宋"/>
          <w:spacing w:val="5"/>
          <w:sz w:val="31"/>
          <w:szCs w:val="31"/>
          <w:lang w:val="en-US" w:eastAsia="zh-CN"/>
        </w:rPr>
        <w:t>安全检查</w:t>
      </w:r>
      <w:r>
        <w:rPr>
          <w:rFonts w:ascii="仿宋" w:hAnsi="仿宋" w:eastAsia="仿宋" w:cs="仿宋"/>
          <w:spacing w:val="5"/>
          <w:sz w:val="31"/>
          <w:szCs w:val="31"/>
        </w:rPr>
        <w:t>项目自评综述：</w:t>
      </w:r>
      <w:r>
        <w:rPr>
          <w:rFonts w:hint="eastAsia" w:ascii="仿宋" w:hAnsi="仿宋" w:eastAsia="仿宋" w:cs="仿宋"/>
          <w:spacing w:val="5"/>
          <w:sz w:val="31"/>
          <w:szCs w:val="31"/>
          <w:lang w:eastAsia="zh-CN"/>
        </w:rPr>
        <w:t>根据年初设定的绩效目标，项目自评得分</w:t>
      </w:r>
      <w:r>
        <w:rPr>
          <w:rFonts w:hint="eastAsia" w:ascii="仿宋" w:hAnsi="仿宋" w:eastAsia="仿宋" w:cs="仿宋"/>
          <w:spacing w:val="5"/>
          <w:sz w:val="31"/>
          <w:szCs w:val="31"/>
          <w:u w:val="single"/>
          <w:lang w:val="en-US" w:eastAsia="zh-CN"/>
        </w:rPr>
        <w:t>87.95</w:t>
      </w:r>
      <w:r>
        <w:rPr>
          <w:rFonts w:hint="eastAsia" w:ascii="仿宋" w:hAnsi="仿宋" w:eastAsia="仿宋" w:cs="仿宋"/>
          <w:spacing w:val="5"/>
          <w:sz w:val="31"/>
          <w:szCs w:val="31"/>
          <w:lang w:eastAsia="zh-CN"/>
        </w:rPr>
        <w:t>分。全年预算数为</w:t>
      </w:r>
      <w:r>
        <w:rPr>
          <w:rFonts w:hint="eastAsia" w:ascii="仿宋" w:hAnsi="仿宋" w:eastAsia="仿宋" w:cs="仿宋"/>
          <w:spacing w:val="5"/>
          <w:sz w:val="31"/>
          <w:szCs w:val="31"/>
          <w:u w:val="single"/>
          <w:lang w:val="en-US" w:eastAsia="zh-CN"/>
        </w:rPr>
        <w:t>90.00</w:t>
      </w:r>
      <w:r>
        <w:rPr>
          <w:rFonts w:hint="eastAsia" w:ascii="仿宋" w:hAnsi="仿宋" w:eastAsia="仿宋" w:cs="仿宋"/>
          <w:spacing w:val="5"/>
          <w:sz w:val="31"/>
          <w:szCs w:val="31"/>
          <w:lang w:eastAsia="zh-CN"/>
        </w:rPr>
        <w:t>万元，执行数为</w:t>
      </w:r>
      <w:r>
        <w:rPr>
          <w:rFonts w:hint="eastAsia" w:ascii="仿宋" w:hAnsi="仿宋" w:eastAsia="仿宋" w:cs="仿宋"/>
          <w:spacing w:val="5"/>
          <w:sz w:val="31"/>
          <w:szCs w:val="31"/>
          <w:u w:val="single"/>
          <w:lang w:val="en-US" w:eastAsia="zh-CN"/>
        </w:rPr>
        <w:t>76.02</w:t>
      </w:r>
      <w:r>
        <w:rPr>
          <w:rFonts w:hint="eastAsia" w:ascii="仿宋" w:hAnsi="仿宋" w:eastAsia="仿宋" w:cs="仿宋"/>
          <w:spacing w:val="5"/>
          <w:sz w:val="31"/>
          <w:szCs w:val="31"/>
          <w:lang w:eastAsia="zh-CN"/>
        </w:rPr>
        <w:t>万元，完成预算的</w:t>
      </w:r>
      <w:r>
        <w:rPr>
          <w:rFonts w:hint="eastAsia" w:ascii="仿宋" w:hAnsi="仿宋" w:eastAsia="仿宋" w:cs="仿宋"/>
          <w:spacing w:val="5"/>
          <w:sz w:val="31"/>
          <w:szCs w:val="31"/>
          <w:u w:val="single"/>
          <w:lang w:val="en-US" w:eastAsia="zh-CN"/>
        </w:rPr>
        <w:t>84.47</w:t>
      </w:r>
      <w:r>
        <w:rPr>
          <w:rFonts w:hint="eastAsia" w:ascii="仿宋" w:hAnsi="仿宋" w:eastAsia="仿宋" w:cs="仿宋"/>
          <w:spacing w:val="5"/>
          <w:sz w:val="31"/>
          <w:szCs w:val="31"/>
          <w:lang w:eastAsia="zh-CN"/>
        </w:rPr>
        <w:t>%。项目绩效目标完成情况：</w:t>
      </w:r>
      <w:r>
        <w:rPr>
          <w:rFonts w:hint="eastAsia" w:ascii="仿宋" w:hAnsi="仿宋" w:eastAsia="仿宋" w:cs="仿宋"/>
          <w:spacing w:val="5"/>
          <w:sz w:val="31"/>
          <w:szCs w:val="31"/>
          <w:lang w:val="en-US" w:eastAsia="zh-CN"/>
        </w:rPr>
        <w:t>在年初设定的时效目标内，</w:t>
      </w:r>
      <w:r>
        <w:rPr>
          <w:rFonts w:hint="eastAsia" w:ascii="仿宋" w:hAnsi="仿宋" w:eastAsia="仿宋" w:cs="仿宋"/>
          <w:spacing w:val="5"/>
          <w:sz w:val="31"/>
          <w:szCs w:val="31"/>
          <w:lang w:eastAsia="zh-CN"/>
        </w:rPr>
        <w:t>安排特种作业考试次数16期、安全检查数量完成302户次、执法人次数量964人次，</w:t>
      </w:r>
      <w:r>
        <w:rPr>
          <w:rFonts w:hint="eastAsia" w:ascii="仿宋" w:hAnsi="仿宋" w:eastAsia="仿宋" w:cs="仿宋"/>
          <w:spacing w:val="5"/>
          <w:sz w:val="31"/>
          <w:szCs w:val="31"/>
          <w:lang w:val="en-US" w:eastAsia="zh-CN"/>
        </w:rPr>
        <w:t>均</w:t>
      </w:r>
      <w:r>
        <w:rPr>
          <w:rFonts w:hint="eastAsia" w:ascii="仿宋" w:hAnsi="仿宋" w:eastAsia="仿宋" w:cs="仿宋"/>
          <w:spacing w:val="5"/>
          <w:sz w:val="31"/>
          <w:szCs w:val="31"/>
          <w:lang w:eastAsia="zh-CN"/>
        </w:rPr>
        <w:t>超过年度设定目标；对企业安全检查覆盖率100%，特种作业考试完成率100%；开展执法检查和特种作业证考试工作差旅费完成43.83万元，租车费22.58万元，聘请聘用安全专家9.6万元，以上指标基本完成了年度目标。发现的主要问题及原因：</w:t>
      </w:r>
      <w:r>
        <w:rPr>
          <w:rFonts w:hint="eastAsia" w:ascii="仿宋" w:hAnsi="仿宋" w:eastAsia="仿宋" w:cs="仿宋"/>
          <w:spacing w:val="5"/>
          <w:sz w:val="31"/>
          <w:szCs w:val="31"/>
          <w:lang w:val="en-US" w:eastAsia="zh-CN"/>
        </w:rPr>
        <w:t>未完成年度设定的成本指标</w:t>
      </w:r>
      <w:r>
        <w:rPr>
          <w:rFonts w:hint="eastAsia" w:ascii="仿宋" w:hAnsi="仿宋" w:eastAsia="仿宋" w:cs="仿宋"/>
          <w:spacing w:val="5"/>
          <w:sz w:val="31"/>
          <w:szCs w:val="31"/>
          <w:lang w:eastAsia="zh-CN"/>
        </w:rPr>
        <w:t>购置执法通用设备及耗材，未完成原因是未购置相关设备。下一步改进措施：</w:t>
      </w:r>
      <w:r>
        <w:rPr>
          <w:rFonts w:hint="eastAsia" w:ascii="仿宋" w:hAnsi="仿宋" w:eastAsia="仿宋" w:cs="仿宋"/>
          <w:spacing w:val="5"/>
          <w:sz w:val="31"/>
          <w:szCs w:val="31"/>
          <w:lang w:val="en-US" w:eastAsia="zh-CN"/>
        </w:rPr>
        <w:t>将更加严谨的设定年度成本指标，</w:t>
      </w:r>
      <w:r>
        <w:rPr>
          <w:rFonts w:hint="eastAsia" w:ascii="仿宋" w:hAnsi="仿宋" w:eastAsia="仿宋" w:cs="仿宋"/>
          <w:spacing w:val="5"/>
          <w:sz w:val="31"/>
          <w:szCs w:val="31"/>
          <w:lang w:eastAsia="zh-CN"/>
        </w:rPr>
        <w:t>进一步发挥项目资金的</w:t>
      </w:r>
      <w:r>
        <w:rPr>
          <w:rFonts w:hint="eastAsia" w:ascii="仿宋" w:hAnsi="仿宋" w:eastAsia="仿宋" w:cs="仿宋"/>
          <w:spacing w:val="5"/>
          <w:sz w:val="31"/>
          <w:szCs w:val="31"/>
          <w:lang w:val="en-US" w:eastAsia="zh-CN"/>
        </w:rPr>
        <w:t>最</w:t>
      </w:r>
      <w:r>
        <w:rPr>
          <w:rFonts w:hint="eastAsia" w:ascii="仿宋" w:hAnsi="仿宋" w:eastAsia="仿宋" w:cs="仿宋"/>
          <w:spacing w:val="5"/>
          <w:sz w:val="31"/>
          <w:szCs w:val="31"/>
          <w:lang w:eastAsia="zh-CN"/>
        </w:rPr>
        <w:t>大使用效益，提高资金使用率。</w:t>
      </w:r>
    </w:p>
    <w:p w14:paraId="171856AA">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spacing w:val="5"/>
          <w:sz w:val="31"/>
          <w:szCs w:val="31"/>
          <w:lang w:eastAsia="zh-CN"/>
        </w:rPr>
      </w:pPr>
      <w:r>
        <w:rPr>
          <w:rFonts w:hint="eastAsia" w:ascii="仿宋" w:hAnsi="仿宋" w:eastAsia="仿宋" w:cs="仿宋"/>
          <w:spacing w:val="5"/>
          <w:sz w:val="31"/>
          <w:szCs w:val="31"/>
          <w:lang w:val="en-US" w:eastAsia="zh-CN"/>
        </w:rPr>
        <w:t>3.能源项目前期费</w:t>
      </w:r>
      <w:r>
        <w:rPr>
          <w:rFonts w:ascii="仿宋" w:hAnsi="仿宋" w:eastAsia="仿宋" w:cs="仿宋"/>
          <w:spacing w:val="5"/>
          <w:sz w:val="31"/>
          <w:szCs w:val="31"/>
        </w:rPr>
        <w:t>项目自评综述：</w:t>
      </w:r>
      <w:r>
        <w:rPr>
          <w:rFonts w:hint="eastAsia" w:ascii="仿宋" w:hAnsi="仿宋" w:eastAsia="仿宋" w:cs="仿宋"/>
          <w:spacing w:val="5"/>
          <w:sz w:val="31"/>
          <w:szCs w:val="31"/>
          <w:lang w:eastAsia="zh-CN"/>
        </w:rPr>
        <w:t>根据年初设定的绩效目标，项目自评得分</w:t>
      </w:r>
      <w:r>
        <w:rPr>
          <w:rFonts w:hint="eastAsia" w:ascii="仿宋" w:hAnsi="仿宋" w:eastAsia="仿宋" w:cs="仿宋"/>
          <w:spacing w:val="5"/>
          <w:sz w:val="31"/>
          <w:szCs w:val="31"/>
          <w:u w:val="single"/>
          <w:lang w:val="en-US" w:eastAsia="zh-CN"/>
        </w:rPr>
        <w:t>84.94</w:t>
      </w:r>
      <w:r>
        <w:rPr>
          <w:rFonts w:hint="eastAsia" w:ascii="仿宋" w:hAnsi="仿宋" w:eastAsia="仿宋" w:cs="仿宋"/>
          <w:spacing w:val="5"/>
          <w:sz w:val="31"/>
          <w:szCs w:val="31"/>
          <w:lang w:eastAsia="zh-CN"/>
        </w:rPr>
        <w:t>分。全年预算数为</w:t>
      </w:r>
      <w:r>
        <w:rPr>
          <w:rFonts w:hint="eastAsia" w:ascii="仿宋" w:hAnsi="仿宋" w:eastAsia="仿宋" w:cs="仿宋"/>
          <w:spacing w:val="5"/>
          <w:sz w:val="31"/>
          <w:szCs w:val="31"/>
          <w:u w:val="single"/>
          <w:lang w:val="en-US" w:eastAsia="zh-CN"/>
        </w:rPr>
        <w:t>145.00</w:t>
      </w:r>
      <w:r>
        <w:rPr>
          <w:rFonts w:hint="eastAsia" w:ascii="仿宋" w:hAnsi="仿宋" w:eastAsia="仿宋" w:cs="仿宋"/>
          <w:spacing w:val="5"/>
          <w:sz w:val="31"/>
          <w:szCs w:val="31"/>
          <w:lang w:eastAsia="zh-CN"/>
        </w:rPr>
        <w:t>万元，执行数为</w:t>
      </w:r>
      <w:r>
        <w:rPr>
          <w:rFonts w:hint="eastAsia" w:ascii="仿宋" w:hAnsi="仿宋" w:eastAsia="仿宋" w:cs="仿宋"/>
          <w:spacing w:val="5"/>
          <w:sz w:val="31"/>
          <w:szCs w:val="31"/>
          <w:u w:val="single"/>
          <w:lang w:val="en-US" w:eastAsia="zh-CN"/>
        </w:rPr>
        <w:t>100.66</w:t>
      </w:r>
      <w:r>
        <w:rPr>
          <w:rFonts w:hint="eastAsia" w:ascii="仿宋" w:hAnsi="仿宋" w:eastAsia="仿宋" w:cs="仿宋"/>
          <w:spacing w:val="5"/>
          <w:sz w:val="31"/>
          <w:szCs w:val="31"/>
          <w:lang w:eastAsia="zh-CN"/>
        </w:rPr>
        <w:t>万元，完成预算的</w:t>
      </w:r>
      <w:r>
        <w:rPr>
          <w:rFonts w:hint="eastAsia" w:ascii="仿宋" w:hAnsi="仿宋" w:eastAsia="仿宋" w:cs="仿宋"/>
          <w:spacing w:val="5"/>
          <w:sz w:val="31"/>
          <w:szCs w:val="31"/>
          <w:u w:val="single"/>
          <w:lang w:val="en-US" w:eastAsia="zh-CN"/>
        </w:rPr>
        <w:t>69.42</w:t>
      </w:r>
      <w:r>
        <w:rPr>
          <w:rFonts w:hint="eastAsia" w:ascii="仿宋" w:hAnsi="仿宋" w:eastAsia="仿宋" w:cs="仿宋"/>
          <w:spacing w:val="5"/>
          <w:sz w:val="31"/>
          <w:szCs w:val="31"/>
          <w:lang w:eastAsia="zh-CN"/>
        </w:rPr>
        <w:t>%。项目绩效目标完成情况：</w:t>
      </w:r>
      <w:r>
        <w:rPr>
          <w:rFonts w:hint="eastAsia" w:ascii="仿宋" w:hAnsi="仿宋" w:eastAsia="仿宋" w:cs="仿宋"/>
          <w:spacing w:val="5"/>
          <w:sz w:val="31"/>
          <w:szCs w:val="31"/>
          <w:lang w:val="en-US" w:eastAsia="zh-CN"/>
        </w:rPr>
        <w:t>在年初设定的时效目标内，</w:t>
      </w:r>
      <w:r>
        <w:rPr>
          <w:rFonts w:hint="eastAsia" w:ascii="仿宋" w:hAnsi="仿宋" w:eastAsia="仿宋" w:cs="仿宋"/>
          <w:spacing w:val="5"/>
          <w:sz w:val="31"/>
          <w:szCs w:val="31"/>
          <w:lang w:eastAsia="zh-CN"/>
        </w:rPr>
        <w:t>年公出次数106次，超过预期指标；购置办公设备</w:t>
      </w:r>
      <w:r>
        <w:rPr>
          <w:rFonts w:hint="eastAsia" w:ascii="仿宋" w:hAnsi="仿宋" w:eastAsia="仿宋" w:cs="仿宋"/>
          <w:spacing w:val="5"/>
          <w:sz w:val="31"/>
          <w:szCs w:val="31"/>
          <w:lang w:val="en-US" w:eastAsia="zh-CN"/>
        </w:rPr>
        <w:t>4个，完成</w:t>
      </w:r>
      <w:r>
        <w:rPr>
          <w:rFonts w:hint="eastAsia" w:ascii="仿宋" w:hAnsi="仿宋" w:eastAsia="仿宋" w:cs="仿宋"/>
          <w:spacing w:val="5"/>
          <w:sz w:val="31"/>
          <w:szCs w:val="31"/>
          <w:lang w:eastAsia="zh-CN"/>
        </w:rPr>
        <w:t>年度指标</w:t>
      </w:r>
      <w:r>
        <w:rPr>
          <w:rFonts w:hint="eastAsia" w:ascii="仿宋" w:hAnsi="仿宋" w:eastAsia="仿宋" w:cs="仿宋"/>
          <w:spacing w:val="5"/>
          <w:sz w:val="31"/>
          <w:szCs w:val="31"/>
          <w:lang w:val="en-US" w:eastAsia="zh-CN"/>
        </w:rPr>
        <w:t>的40%</w:t>
      </w:r>
      <w:r>
        <w:rPr>
          <w:rFonts w:hint="eastAsia" w:ascii="仿宋" w:hAnsi="仿宋" w:eastAsia="仿宋" w:cs="仿宋"/>
          <w:spacing w:val="5"/>
          <w:sz w:val="31"/>
          <w:szCs w:val="31"/>
          <w:lang w:eastAsia="zh-CN"/>
        </w:rPr>
        <w:t>，全年工作完成率100%，除新能源产业链经费因年中下达了专项招商引资经费未使用该经费支出外其他均完成年初设定的目标。发现的主要问题及原因：</w:t>
      </w:r>
      <w:r>
        <w:rPr>
          <w:rFonts w:hint="eastAsia" w:ascii="仿宋" w:hAnsi="仿宋" w:eastAsia="仿宋" w:cs="仿宋"/>
          <w:spacing w:val="5"/>
          <w:sz w:val="31"/>
          <w:szCs w:val="31"/>
          <w:lang w:val="en-US" w:eastAsia="zh-CN"/>
        </w:rPr>
        <w:t>数量指标购置办公设备未按照年度设定目标100%完成。</w:t>
      </w:r>
      <w:r>
        <w:rPr>
          <w:rFonts w:hint="eastAsia" w:ascii="仿宋" w:hAnsi="仿宋" w:eastAsia="仿宋" w:cs="仿宋"/>
          <w:spacing w:val="5"/>
          <w:sz w:val="31"/>
          <w:szCs w:val="31"/>
          <w:lang w:eastAsia="zh-CN"/>
        </w:rPr>
        <w:t>下一步改进措施：加强项目绩效管理和业务工作督促，进一步发挥项目资金的</w:t>
      </w:r>
      <w:r>
        <w:rPr>
          <w:rFonts w:hint="eastAsia" w:ascii="仿宋" w:hAnsi="仿宋" w:eastAsia="仿宋" w:cs="仿宋"/>
          <w:spacing w:val="5"/>
          <w:sz w:val="31"/>
          <w:szCs w:val="31"/>
          <w:lang w:val="en-US" w:eastAsia="zh-CN"/>
        </w:rPr>
        <w:t>最</w:t>
      </w:r>
      <w:r>
        <w:rPr>
          <w:rFonts w:hint="eastAsia" w:ascii="仿宋" w:hAnsi="仿宋" w:eastAsia="仿宋" w:cs="仿宋"/>
          <w:spacing w:val="5"/>
          <w:sz w:val="31"/>
          <w:szCs w:val="31"/>
          <w:lang w:eastAsia="zh-CN"/>
        </w:rPr>
        <w:t>大使用效益，完善资金管理制度，规范项目绩效管理，提高项目绩效编制</w:t>
      </w:r>
      <w:r>
        <w:rPr>
          <w:rFonts w:hint="eastAsia" w:ascii="仿宋" w:hAnsi="仿宋" w:eastAsia="仿宋" w:cs="仿宋"/>
          <w:spacing w:val="5"/>
          <w:sz w:val="31"/>
          <w:szCs w:val="31"/>
          <w:lang w:val="en-US" w:eastAsia="zh-CN"/>
        </w:rPr>
        <w:t>质量</w:t>
      </w:r>
      <w:r>
        <w:rPr>
          <w:rFonts w:hint="eastAsia" w:ascii="仿宋" w:hAnsi="仿宋" w:eastAsia="仿宋" w:cs="仿宋"/>
          <w:spacing w:val="5"/>
          <w:sz w:val="31"/>
          <w:szCs w:val="31"/>
          <w:lang w:eastAsia="zh-CN"/>
        </w:rPr>
        <w:t>，提高资金使用率。</w:t>
      </w:r>
    </w:p>
    <w:p w14:paraId="027F1BA6">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spacing w:val="5"/>
          <w:sz w:val="31"/>
          <w:szCs w:val="31"/>
          <w:lang w:eastAsia="zh-CN"/>
        </w:rPr>
      </w:pPr>
      <w:r>
        <w:rPr>
          <w:rFonts w:hint="eastAsia" w:ascii="仿宋" w:hAnsi="仿宋" w:eastAsia="仿宋" w:cs="仿宋"/>
          <w:spacing w:val="5"/>
          <w:sz w:val="31"/>
          <w:szCs w:val="31"/>
          <w:lang w:val="en-US" w:eastAsia="zh-CN"/>
        </w:rPr>
        <w:t>4.新能源调相机布局规划</w:t>
      </w:r>
      <w:r>
        <w:rPr>
          <w:rFonts w:ascii="仿宋" w:hAnsi="仿宋" w:eastAsia="仿宋" w:cs="仿宋"/>
          <w:spacing w:val="5"/>
          <w:sz w:val="31"/>
          <w:szCs w:val="31"/>
        </w:rPr>
        <w:t>项目自评综述：</w:t>
      </w:r>
      <w:r>
        <w:rPr>
          <w:rFonts w:hint="eastAsia" w:ascii="仿宋" w:hAnsi="仿宋" w:eastAsia="仿宋" w:cs="仿宋"/>
          <w:spacing w:val="5"/>
          <w:sz w:val="31"/>
          <w:szCs w:val="31"/>
          <w:lang w:eastAsia="zh-CN"/>
        </w:rPr>
        <w:t>根据年初设定的绩效目标，项目自评得分</w:t>
      </w:r>
      <w:r>
        <w:rPr>
          <w:rFonts w:hint="eastAsia" w:ascii="仿宋" w:hAnsi="仿宋" w:eastAsia="仿宋" w:cs="仿宋"/>
          <w:spacing w:val="5"/>
          <w:sz w:val="31"/>
          <w:szCs w:val="31"/>
          <w:u w:val="single"/>
          <w:lang w:val="en-US" w:eastAsia="zh-CN"/>
        </w:rPr>
        <w:t>79.22</w:t>
      </w:r>
      <w:r>
        <w:rPr>
          <w:rFonts w:hint="eastAsia" w:ascii="仿宋" w:hAnsi="仿宋" w:eastAsia="仿宋" w:cs="仿宋"/>
          <w:spacing w:val="5"/>
          <w:sz w:val="31"/>
          <w:szCs w:val="31"/>
          <w:lang w:eastAsia="zh-CN"/>
        </w:rPr>
        <w:t>分。全年预算数为</w:t>
      </w:r>
      <w:r>
        <w:rPr>
          <w:rFonts w:hint="eastAsia" w:ascii="仿宋" w:hAnsi="仿宋" w:eastAsia="仿宋" w:cs="仿宋"/>
          <w:spacing w:val="5"/>
          <w:sz w:val="31"/>
          <w:szCs w:val="31"/>
          <w:u w:val="single"/>
          <w:lang w:val="en-US" w:eastAsia="zh-CN"/>
        </w:rPr>
        <w:t>55.00</w:t>
      </w:r>
      <w:r>
        <w:rPr>
          <w:rFonts w:hint="eastAsia" w:ascii="仿宋" w:hAnsi="仿宋" w:eastAsia="仿宋" w:cs="仿宋"/>
          <w:spacing w:val="5"/>
          <w:sz w:val="31"/>
          <w:szCs w:val="31"/>
          <w:lang w:eastAsia="zh-CN"/>
        </w:rPr>
        <w:t>万元，执行数为</w:t>
      </w:r>
      <w:r>
        <w:rPr>
          <w:rFonts w:hint="eastAsia" w:ascii="仿宋" w:hAnsi="仿宋" w:eastAsia="仿宋" w:cs="仿宋"/>
          <w:spacing w:val="5"/>
          <w:sz w:val="31"/>
          <w:szCs w:val="31"/>
          <w:u w:val="single"/>
          <w:lang w:val="en-US" w:eastAsia="zh-CN"/>
        </w:rPr>
        <w:t>50.72</w:t>
      </w:r>
      <w:r>
        <w:rPr>
          <w:rFonts w:hint="eastAsia" w:ascii="仿宋" w:hAnsi="仿宋" w:eastAsia="仿宋" w:cs="仿宋"/>
          <w:spacing w:val="5"/>
          <w:sz w:val="31"/>
          <w:szCs w:val="31"/>
          <w:lang w:eastAsia="zh-CN"/>
        </w:rPr>
        <w:t>万元，完成预算的</w:t>
      </w:r>
      <w:r>
        <w:rPr>
          <w:rFonts w:hint="eastAsia" w:ascii="仿宋" w:hAnsi="仿宋" w:eastAsia="仿宋" w:cs="仿宋"/>
          <w:spacing w:val="5"/>
          <w:sz w:val="31"/>
          <w:szCs w:val="31"/>
          <w:u w:val="single"/>
          <w:lang w:val="en-US" w:eastAsia="zh-CN"/>
        </w:rPr>
        <w:t>92.22</w:t>
      </w:r>
      <w:r>
        <w:rPr>
          <w:rFonts w:hint="eastAsia" w:ascii="仿宋" w:hAnsi="仿宋" w:eastAsia="仿宋" w:cs="仿宋"/>
          <w:spacing w:val="5"/>
          <w:sz w:val="31"/>
          <w:szCs w:val="31"/>
          <w:u w:val="single"/>
          <w:lang w:eastAsia="zh-CN"/>
        </w:rPr>
        <w:t>%</w:t>
      </w:r>
      <w:r>
        <w:rPr>
          <w:rFonts w:hint="eastAsia" w:ascii="仿宋" w:hAnsi="仿宋" w:eastAsia="仿宋" w:cs="仿宋"/>
          <w:spacing w:val="5"/>
          <w:sz w:val="31"/>
          <w:szCs w:val="31"/>
          <w:lang w:eastAsia="zh-CN"/>
        </w:rPr>
        <w:t>。项目绩效目标完成情况：</w:t>
      </w:r>
      <w:r>
        <w:rPr>
          <w:rFonts w:hint="eastAsia" w:ascii="仿宋" w:hAnsi="仿宋" w:eastAsia="仿宋" w:cs="仿宋"/>
          <w:spacing w:val="5"/>
          <w:sz w:val="31"/>
          <w:szCs w:val="31"/>
          <w:lang w:val="en-US" w:eastAsia="zh-CN"/>
        </w:rPr>
        <w:t>在年初设定的时效目标内，</w:t>
      </w:r>
      <w:r>
        <w:rPr>
          <w:rFonts w:hint="eastAsia" w:ascii="仿宋" w:hAnsi="仿宋" w:eastAsia="仿宋" w:cs="仿宋"/>
          <w:spacing w:val="5"/>
          <w:sz w:val="31"/>
          <w:szCs w:val="31"/>
          <w:lang w:eastAsia="zh-CN"/>
        </w:rPr>
        <w:t>编制规划1本，聘请第三方审查1次，编制规划合格率100%，编制规划按时完成率100%，编制规划费50.27万元，超过年初设定的目标，原因是规划编制费用中包括评审费用所以与年初目标有差异，规划审查费0万元，未完成年度目标的原因是规划编制费中包括评审费。发现的主要问题及原因：</w:t>
      </w:r>
      <w:r>
        <w:rPr>
          <w:rFonts w:hint="eastAsia" w:ascii="仿宋" w:hAnsi="仿宋" w:eastAsia="仿宋" w:cs="仿宋"/>
          <w:spacing w:val="5"/>
          <w:sz w:val="31"/>
          <w:szCs w:val="31"/>
          <w:lang w:val="en-US" w:eastAsia="zh-CN"/>
        </w:rPr>
        <w:t>未完成年度设定的成本指标</w:t>
      </w:r>
      <w:r>
        <w:rPr>
          <w:rFonts w:hint="eastAsia" w:ascii="仿宋" w:hAnsi="仿宋" w:eastAsia="仿宋" w:cs="仿宋"/>
          <w:spacing w:val="5"/>
          <w:sz w:val="31"/>
          <w:szCs w:val="31"/>
          <w:lang w:eastAsia="zh-CN"/>
        </w:rPr>
        <w:t>规划审查费，未完成原因是规划编制费用中包括评审费用。下一步改进措施：加强项目绩效管理和业务工作督促，</w:t>
      </w:r>
      <w:r>
        <w:rPr>
          <w:rFonts w:hint="eastAsia" w:ascii="仿宋" w:hAnsi="仿宋" w:eastAsia="仿宋" w:cs="仿宋"/>
          <w:spacing w:val="5"/>
          <w:sz w:val="31"/>
          <w:szCs w:val="31"/>
          <w:lang w:val="en-US" w:eastAsia="zh-CN"/>
        </w:rPr>
        <w:t>要求更加严谨的设定年度成本指标，</w:t>
      </w:r>
      <w:r>
        <w:rPr>
          <w:rFonts w:hint="eastAsia" w:ascii="仿宋" w:hAnsi="仿宋" w:eastAsia="仿宋" w:cs="仿宋"/>
          <w:spacing w:val="5"/>
          <w:sz w:val="31"/>
          <w:szCs w:val="31"/>
          <w:lang w:eastAsia="zh-CN"/>
        </w:rPr>
        <w:t>进一步发挥项目资金的</w:t>
      </w:r>
      <w:r>
        <w:rPr>
          <w:rFonts w:hint="eastAsia" w:ascii="仿宋" w:hAnsi="仿宋" w:eastAsia="仿宋" w:cs="仿宋"/>
          <w:spacing w:val="5"/>
          <w:sz w:val="31"/>
          <w:szCs w:val="31"/>
          <w:lang w:val="en-US" w:eastAsia="zh-CN"/>
        </w:rPr>
        <w:t>最</w:t>
      </w:r>
      <w:r>
        <w:rPr>
          <w:rFonts w:hint="eastAsia" w:ascii="仿宋" w:hAnsi="仿宋" w:eastAsia="仿宋" w:cs="仿宋"/>
          <w:spacing w:val="5"/>
          <w:sz w:val="31"/>
          <w:szCs w:val="31"/>
          <w:lang w:eastAsia="zh-CN"/>
        </w:rPr>
        <w:t>大使用效益，提高资金使用率。</w:t>
      </w:r>
    </w:p>
    <w:p w14:paraId="11537B92">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jc w:val="both"/>
        <w:textAlignment w:val="auto"/>
        <w:rPr>
          <w:rFonts w:hint="default"/>
          <w:lang w:val="en-US" w:eastAsia="zh-CN"/>
        </w:rPr>
      </w:pPr>
      <w:r>
        <w:rPr>
          <w:rFonts w:hint="eastAsia" w:ascii="仿宋" w:hAnsi="仿宋" w:eastAsia="仿宋" w:cs="仿宋"/>
          <w:spacing w:val="5"/>
          <w:sz w:val="31"/>
          <w:szCs w:val="31"/>
          <w:lang w:val="en-US" w:eastAsia="zh-CN"/>
        </w:rPr>
        <w:t>5.东乌旗农乃庙煤炭矿区总体规划评审费</w:t>
      </w:r>
      <w:r>
        <w:rPr>
          <w:rFonts w:ascii="仿宋" w:hAnsi="仿宋" w:eastAsia="仿宋" w:cs="仿宋"/>
          <w:spacing w:val="5"/>
          <w:sz w:val="31"/>
          <w:szCs w:val="31"/>
        </w:rPr>
        <w:t>项目自评综述：</w:t>
      </w:r>
      <w:r>
        <w:rPr>
          <w:rFonts w:hint="eastAsia" w:ascii="仿宋" w:hAnsi="仿宋" w:eastAsia="仿宋" w:cs="仿宋"/>
          <w:spacing w:val="5"/>
          <w:sz w:val="31"/>
          <w:szCs w:val="31"/>
          <w:lang w:eastAsia="zh-CN"/>
        </w:rPr>
        <w:t>根据年初设定的绩效目标，项目自评得分</w:t>
      </w:r>
      <w:r>
        <w:rPr>
          <w:rFonts w:hint="eastAsia" w:ascii="仿宋" w:hAnsi="仿宋" w:eastAsia="仿宋" w:cs="仿宋"/>
          <w:spacing w:val="5"/>
          <w:sz w:val="31"/>
          <w:szCs w:val="31"/>
          <w:u w:val="single"/>
          <w:lang w:val="en-US" w:eastAsia="zh-CN"/>
        </w:rPr>
        <w:t>83.33</w:t>
      </w:r>
      <w:r>
        <w:rPr>
          <w:rFonts w:hint="eastAsia" w:ascii="仿宋" w:hAnsi="仿宋" w:eastAsia="仿宋" w:cs="仿宋"/>
          <w:spacing w:val="5"/>
          <w:sz w:val="31"/>
          <w:szCs w:val="31"/>
          <w:lang w:eastAsia="zh-CN"/>
        </w:rPr>
        <w:t>分。全年预算数为</w:t>
      </w:r>
      <w:r>
        <w:rPr>
          <w:rFonts w:hint="eastAsia" w:ascii="仿宋" w:hAnsi="仿宋" w:eastAsia="仿宋" w:cs="仿宋"/>
          <w:spacing w:val="5"/>
          <w:sz w:val="31"/>
          <w:szCs w:val="31"/>
          <w:u w:val="single"/>
          <w:lang w:val="en-US" w:eastAsia="zh-CN"/>
        </w:rPr>
        <w:t>60.00</w:t>
      </w:r>
      <w:r>
        <w:rPr>
          <w:rFonts w:hint="eastAsia" w:ascii="仿宋" w:hAnsi="仿宋" w:eastAsia="仿宋" w:cs="仿宋"/>
          <w:spacing w:val="5"/>
          <w:sz w:val="31"/>
          <w:szCs w:val="31"/>
          <w:lang w:eastAsia="zh-CN"/>
        </w:rPr>
        <w:t>万元，执行数为</w:t>
      </w:r>
      <w:r>
        <w:rPr>
          <w:rFonts w:hint="eastAsia" w:ascii="仿宋" w:hAnsi="仿宋" w:eastAsia="仿宋" w:cs="仿宋"/>
          <w:spacing w:val="5"/>
          <w:sz w:val="31"/>
          <w:szCs w:val="31"/>
          <w:u w:val="single"/>
          <w:lang w:val="en-US" w:eastAsia="zh-CN"/>
        </w:rPr>
        <w:t>50.00</w:t>
      </w:r>
      <w:r>
        <w:rPr>
          <w:rFonts w:hint="eastAsia" w:ascii="仿宋" w:hAnsi="仿宋" w:eastAsia="仿宋" w:cs="仿宋"/>
          <w:spacing w:val="5"/>
          <w:sz w:val="31"/>
          <w:szCs w:val="31"/>
          <w:lang w:eastAsia="zh-CN"/>
        </w:rPr>
        <w:t>万元，完成预算的</w:t>
      </w:r>
      <w:r>
        <w:rPr>
          <w:rFonts w:hint="eastAsia" w:ascii="仿宋" w:hAnsi="仿宋" w:eastAsia="仿宋" w:cs="仿宋"/>
          <w:spacing w:val="5"/>
          <w:sz w:val="31"/>
          <w:szCs w:val="31"/>
          <w:u w:val="single"/>
          <w:lang w:val="en-US" w:eastAsia="zh-CN"/>
        </w:rPr>
        <w:t>83.33</w:t>
      </w:r>
      <w:r>
        <w:rPr>
          <w:rFonts w:hint="eastAsia" w:ascii="仿宋" w:hAnsi="仿宋" w:eastAsia="仿宋" w:cs="仿宋"/>
          <w:spacing w:val="5"/>
          <w:sz w:val="31"/>
          <w:szCs w:val="31"/>
          <w:lang w:eastAsia="zh-CN"/>
        </w:rPr>
        <w:t>%。项目绩效目标完成情况：</w:t>
      </w:r>
      <w:r>
        <w:rPr>
          <w:rFonts w:hint="eastAsia" w:ascii="仿宋" w:hAnsi="仿宋" w:eastAsia="仿宋" w:cs="仿宋"/>
          <w:spacing w:val="5"/>
          <w:sz w:val="31"/>
          <w:szCs w:val="31"/>
          <w:lang w:val="en-US" w:eastAsia="zh-CN"/>
        </w:rPr>
        <w:t>在年初设定的时效目标内，</w:t>
      </w:r>
      <w:r>
        <w:rPr>
          <w:rFonts w:hint="eastAsia" w:ascii="仿宋" w:hAnsi="仿宋" w:eastAsia="仿宋" w:cs="仿宋"/>
          <w:spacing w:val="5"/>
          <w:sz w:val="31"/>
          <w:szCs w:val="31"/>
          <w:lang w:eastAsia="zh-CN"/>
        </w:rPr>
        <w:t>委托评审矿区总体规划数量1个，评审完成率100%，评审完成及时率100%，以上指标均完成了年初目标。发现的主要问题及原因：委托费用年度指标60万元，实际完成50万元，与目标存在差异的原因是与第三方签订合同金额比预算金额小。下一步改进措施：加强项目绩效管理和业务工作督促，</w:t>
      </w:r>
      <w:r>
        <w:rPr>
          <w:rFonts w:hint="eastAsia" w:ascii="仿宋" w:hAnsi="仿宋" w:eastAsia="仿宋" w:cs="仿宋"/>
          <w:spacing w:val="5"/>
          <w:sz w:val="31"/>
          <w:szCs w:val="31"/>
          <w:lang w:val="en-US" w:eastAsia="zh-CN"/>
        </w:rPr>
        <w:t>要求更加严谨的设定年度成本指标，</w:t>
      </w:r>
      <w:r>
        <w:rPr>
          <w:rFonts w:hint="eastAsia" w:ascii="仿宋" w:hAnsi="仿宋" w:eastAsia="仿宋" w:cs="仿宋"/>
          <w:spacing w:val="5"/>
          <w:sz w:val="31"/>
          <w:szCs w:val="31"/>
          <w:lang w:eastAsia="zh-CN"/>
        </w:rPr>
        <w:t>进一步发挥项目资金的</w:t>
      </w:r>
      <w:r>
        <w:rPr>
          <w:rFonts w:hint="eastAsia" w:ascii="仿宋" w:hAnsi="仿宋" w:eastAsia="仿宋" w:cs="仿宋"/>
          <w:spacing w:val="5"/>
          <w:sz w:val="31"/>
          <w:szCs w:val="31"/>
          <w:lang w:val="en-US" w:eastAsia="zh-CN"/>
        </w:rPr>
        <w:t>最</w:t>
      </w:r>
      <w:r>
        <w:rPr>
          <w:rFonts w:hint="eastAsia" w:ascii="仿宋" w:hAnsi="仿宋" w:eastAsia="仿宋" w:cs="仿宋"/>
          <w:spacing w:val="5"/>
          <w:sz w:val="31"/>
          <w:szCs w:val="31"/>
          <w:lang w:eastAsia="zh-CN"/>
        </w:rPr>
        <w:t>大使用效益，提高资金使用率。</w:t>
      </w:r>
    </w:p>
    <w:p w14:paraId="1A59E3BC">
      <w:pPr>
        <w:widowControl/>
        <w:spacing w:before="240" w:after="240"/>
        <w:rPr>
          <w:rFonts w:ascii="kai_ti_gb2312" w:hAnsi="kai_ti_gb2312" w:eastAsia="kai_ti_gb2312" w:cs="kai_ti_gb2312"/>
          <w:b/>
          <w:bCs/>
          <w:kern w:val="0"/>
          <w:sz w:val="27"/>
          <w:szCs w:val="27"/>
        </w:rPr>
      </w:pPr>
      <w:r>
        <w:drawing>
          <wp:inline distT="0" distB="0" distL="114300" distR="114300">
            <wp:extent cx="6182360" cy="8234680"/>
            <wp:effectExtent l="0" t="0" r="8890" b="1397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6182360" cy="8234680"/>
                    </a:xfrm>
                    <a:prstGeom prst="rect">
                      <a:avLst/>
                    </a:prstGeom>
                    <a:noFill/>
                    <a:ln>
                      <a:noFill/>
                    </a:ln>
                  </pic:spPr>
                </pic:pic>
              </a:graphicData>
            </a:graphic>
          </wp:inline>
        </w:drawing>
      </w:r>
      <w:r>
        <w:rPr>
          <w:rFonts w:ascii="kai_ti_gb2312" w:hAnsi="kai_ti_gb2312" w:eastAsia="kai_ti_gb2312" w:cs="kai_ti_gb2312"/>
          <w:b/>
          <w:bCs/>
          <w:kern w:val="0"/>
          <w:sz w:val="27"/>
          <w:szCs w:val="27"/>
        </w:rPr>
        <w:t xml:space="preserve">  </w:t>
      </w:r>
      <w:r>
        <w:drawing>
          <wp:inline distT="0" distB="0" distL="114300" distR="114300">
            <wp:extent cx="6176645" cy="8538845"/>
            <wp:effectExtent l="0" t="0" r="14605" b="1460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6176645" cy="8538845"/>
                    </a:xfrm>
                    <a:prstGeom prst="rect">
                      <a:avLst/>
                    </a:prstGeom>
                    <a:noFill/>
                    <a:ln>
                      <a:noFill/>
                    </a:ln>
                  </pic:spPr>
                </pic:pic>
              </a:graphicData>
            </a:graphic>
          </wp:inline>
        </w:drawing>
      </w:r>
    </w:p>
    <w:p w14:paraId="6B1336AE">
      <w:pPr>
        <w:widowControl/>
        <w:spacing w:before="240" w:after="240"/>
        <w:jc w:val="left"/>
      </w:pPr>
      <w:r>
        <w:drawing>
          <wp:inline distT="0" distB="0" distL="114300" distR="114300">
            <wp:extent cx="6182995" cy="8423275"/>
            <wp:effectExtent l="0" t="0" r="8255" b="1587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6182995" cy="8423275"/>
                    </a:xfrm>
                    <a:prstGeom prst="rect">
                      <a:avLst/>
                    </a:prstGeom>
                    <a:noFill/>
                    <a:ln>
                      <a:noFill/>
                    </a:ln>
                  </pic:spPr>
                </pic:pic>
              </a:graphicData>
            </a:graphic>
          </wp:inline>
        </w:drawing>
      </w:r>
    </w:p>
    <w:p w14:paraId="3BBAE767">
      <w:pPr>
        <w:pStyle w:val="20"/>
        <w:ind w:left="0" w:leftChars="0" w:firstLine="0" w:firstLineChars="0"/>
      </w:pPr>
      <w:r>
        <w:drawing>
          <wp:inline distT="0" distB="0" distL="114300" distR="114300">
            <wp:extent cx="6176645" cy="8096250"/>
            <wp:effectExtent l="0" t="0" r="14605"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0"/>
                    <a:stretch>
                      <a:fillRect/>
                    </a:stretch>
                  </pic:blipFill>
                  <pic:spPr>
                    <a:xfrm>
                      <a:off x="0" y="0"/>
                      <a:ext cx="6176645" cy="8096250"/>
                    </a:xfrm>
                    <a:prstGeom prst="rect">
                      <a:avLst/>
                    </a:prstGeom>
                    <a:noFill/>
                    <a:ln>
                      <a:noFill/>
                    </a:ln>
                  </pic:spPr>
                </pic:pic>
              </a:graphicData>
            </a:graphic>
          </wp:inline>
        </w:drawing>
      </w:r>
    </w:p>
    <w:p w14:paraId="4ED9A40B">
      <w:pPr>
        <w:pStyle w:val="20"/>
        <w:ind w:left="0" w:leftChars="0" w:firstLine="0" w:firstLineChars="0"/>
      </w:pPr>
      <w:r>
        <w:drawing>
          <wp:inline distT="0" distB="0" distL="114300" distR="114300">
            <wp:extent cx="6179820" cy="7359650"/>
            <wp:effectExtent l="0" t="0" r="11430" b="1270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1"/>
                    <a:stretch>
                      <a:fillRect/>
                    </a:stretch>
                  </pic:blipFill>
                  <pic:spPr>
                    <a:xfrm>
                      <a:off x="0" y="0"/>
                      <a:ext cx="6179820" cy="7359650"/>
                    </a:xfrm>
                    <a:prstGeom prst="rect">
                      <a:avLst/>
                    </a:prstGeom>
                    <a:noFill/>
                    <a:ln>
                      <a:noFill/>
                    </a:ln>
                  </pic:spPr>
                </pic:pic>
              </a:graphicData>
            </a:graphic>
          </wp:inline>
        </w:drawing>
      </w:r>
    </w:p>
    <w:p w14:paraId="03F576B0">
      <w:pPr>
        <w:widowControl/>
        <w:spacing w:before="240" w:after="240"/>
        <w:jc w:val="left"/>
        <w:rPr>
          <w:rFonts w:ascii="kai_ti_gb2312" w:hAnsi="kai_ti_gb2312" w:eastAsia="kai_ti_gb2312" w:cs="kai_ti_gb2312"/>
          <w:b/>
          <w:bCs/>
          <w:kern w:val="0"/>
          <w:sz w:val="27"/>
          <w:szCs w:val="27"/>
        </w:rPr>
      </w:pPr>
      <w:r>
        <w:rPr>
          <w:rFonts w:ascii="kai_ti_gb2312" w:hAnsi="kai_ti_gb2312" w:eastAsia="kai_ti_gb2312" w:cs="kai_ti_gb2312"/>
          <w:b/>
          <w:bCs/>
          <w:kern w:val="0"/>
          <w:sz w:val="27"/>
          <w:szCs w:val="27"/>
        </w:rPr>
        <w:t xml:space="preserve">  </w:t>
      </w:r>
    </w:p>
    <w:p w14:paraId="020F3712">
      <w:pPr>
        <w:pStyle w:val="20"/>
        <w:rPr>
          <w:rFonts w:ascii="kai_ti_gb2312" w:hAnsi="kai_ti_gb2312" w:eastAsia="kai_ti_gb2312" w:cs="kai_ti_gb2312"/>
          <w:b/>
          <w:bCs/>
          <w:kern w:val="0"/>
          <w:sz w:val="27"/>
          <w:szCs w:val="27"/>
        </w:rPr>
      </w:pPr>
    </w:p>
    <w:p w14:paraId="15A2CADA">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（三）部门（单位）项目绩效评价结果。</w:t>
      </w:r>
    </w:p>
    <w:p w14:paraId="44A971D1">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以</w:t>
      </w:r>
      <w:r>
        <w:rPr>
          <w:rFonts w:hint="eastAsia" w:ascii="仿宋" w:hAnsi="仿宋" w:eastAsia="仿宋" w:cs="仿宋"/>
          <w:spacing w:val="9"/>
          <w:sz w:val="31"/>
          <w:szCs w:val="31"/>
          <w:lang w:val="en-US" w:eastAsia="zh-CN"/>
        </w:rPr>
        <w:t>煤矿安全生产评估费</w:t>
      </w:r>
      <w:r>
        <w:rPr>
          <w:rFonts w:hint="eastAsia" w:ascii="仿宋" w:hAnsi="仿宋" w:eastAsia="仿宋" w:cs="仿宋"/>
          <w:spacing w:val="9"/>
          <w:sz w:val="31"/>
          <w:szCs w:val="31"/>
        </w:rPr>
        <w:t>项目为例，该项目绩效评价综合得分为</w:t>
      </w:r>
      <w:r>
        <w:rPr>
          <w:rFonts w:hint="eastAsia" w:ascii="仿宋" w:hAnsi="仿宋" w:eastAsia="仿宋" w:cs="仿宋"/>
          <w:spacing w:val="9"/>
          <w:sz w:val="31"/>
          <w:szCs w:val="31"/>
          <w:lang w:val="en-US" w:eastAsia="zh-CN"/>
        </w:rPr>
        <w:t>92.83</w:t>
      </w:r>
      <w:r>
        <w:rPr>
          <w:rFonts w:hint="eastAsia" w:ascii="仿宋" w:hAnsi="仿宋" w:eastAsia="仿宋" w:cs="仿宋"/>
          <w:spacing w:val="9"/>
          <w:sz w:val="31"/>
          <w:szCs w:val="31"/>
        </w:rPr>
        <w:t>分，绩效评价结果为“优”。重点项目绩效评价得分情况详见部门（单位）具体绩效评价结果。</w:t>
      </w:r>
    </w:p>
    <w:p w14:paraId="0DDC7D09">
      <w:pPr>
        <w:spacing w:line="620" w:lineRule="exact"/>
        <w:ind w:firstLine="880"/>
        <w:jc w:val="center"/>
        <w:rPr>
          <w:rFonts w:ascii="fang_song_gb2312" w:hAnsi="fang_song_gb2312" w:eastAsia="fang_song_gb2312" w:cs="fang_song_gb2312"/>
          <w:color w:val="0E00FE"/>
          <w:kern w:val="0"/>
          <w:sz w:val="27"/>
          <w:szCs w:val="27"/>
        </w:rPr>
      </w:pPr>
      <w:r>
        <w:rPr>
          <w:rFonts w:ascii="fang_song_gb2312" w:hAnsi="fang_song_gb2312" w:eastAsia="fang_song_gb2312" w:cs="fang_song_gb2312"/>
          <w:color w:val="0E00FE"/>
          <w:kern w:val="0"/>
          <w:sz w:val="27"/>
          <w:szCs w:val="27"/>
        </w:rPr>
        <w:t xml:space="preserve">  </w:t>
      </w:r>
    </w:p>
    <w:p w14:paraId="4C413629">
      <w:pPr>
        <w:spacing w:line="620" w:lineRule="exact"/>
        <w:ind w:firstLine="880"/>
        <w:jc w:val="center"/>
        <w:rPr>
          <w:rFonts w:ascii="微软雅黑" w:hAnsi="微软雅黑" w:eastAsia="微软雅黑" w:cs="微软雅黑"/>
          <w:sz w:val="44"/>
        </w:rPr>
      </w:pPr>
      <w:r>
        <w:rPr>
          <w:rFonts w:ascii="fang_song_gb2312" w:hAnsi="fang_song_gb2312" w:eastAsia="fang_song_gb2312" w:cs="fang_song_gb2312"/>
          <w:color w:val="0E00FE"/>
          <w:kern w:val="0"/>
          <w:sz w:val="27"/>
          <w:szCs w:val="27"/>
        </w:rPr>
        <w:t> </w:t>
      </w:r>
      <w:r>
        <w:rPr>
          <w:rFonts w:hint="eastAsia" w:ascii="微软雅黑" w:eastAsia="微软雅黑"/>
          <w:sz w:val="44"/>
          <w:szCs w:val="44"/>
        </w:rPr>
        <w:t>2023年</w:t>
      </w:r>
      <w:r>
        <w:rPr>
          <w:rFonts w:ascii="微软雅黑" w:hAnsi="微软雅黑" w:eastAsia="微软雅黑" w:cs="微软雅黑"/>
          <w:sz w:val="44"/>
        </w:rPr>
        <w:t>煤矿安全生产评估费项目</w:t>
      </w:r>
    </w:p>
    <w:p w14:paraId="5BD3C735">
      <w:pPr>
        <w:spacing w:line="620" w:lineRule="exact"/>
        <w:ind w:firstLine="880"/>
        <w:jc w:val="center"/>
        <w:rPr>
          <w:rFonts w:ascii="微软雅黑" w:eastAsia="微软雅黑"/>
          <w:sz w:val="44"/>
          <w:szCs w:val="44"/>
        </w:rPr>
      </w:pPr>
      <w:r>
        <w:rPr>
          <w:rFonts w:ascii="微软雅黑" w:hAnsi="微软雅黑" w:eastAsia="微软雅黑" w:cs="微软雅黑"/>
          <w:sz w:val="44"/>
        </w:rPr>
        <w:t>绩效自评报告</w:t>
      </w:r>
    </w:p>
    <w:p w14:paraId="341D800F">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both"/>
        <w:textAlignment w:val="auto"/>
        <w:outlineLvl w:val="9"/>
        <w:rPr>
          <w:rFonts w:ascii="仿宋" w:hAnsi="仿宋" w:eastAsia="仿宋"/>
          <w:b/>
          <w:sz w:val="32"/>
          <w:szCs w:val="32"/>
        </w:rPr>
      </w:pPr>
      <w:r>
        <w:rPr>
          <w:rFonts w:hint="eastAsia" w:ascii="仿宋" w:hAnsi="仿宋" w:eastAsia="仿宋"/>
          <w:b/>
          <w:sz w:val="32"/>
          <w:szCs w:val="32"/>
          <w:lang w:val="en-US" w:eastAsia="zh-CN"/>
        </w:rPr>
        <w:t>一、</w:t>
      </w:r>
      <w:r>
        <w:rPr>
          <w:rFonts w:hint="eastAsia" w:ascii="仿宋" w:hAnsi="仿宋" w:eastAsia="仿宋"/>
          <w:b/>
          <w:sz w:val="32"/>
          <w:szCs w:val="32"/>
        </w:rPr>
        <w:t>项目</w:t>
      </w:r>
      <w:r>
        <w:rPr>
          <w:rFonts w:hint="eastAsia" w:ascii="仿宋" w:hAnsi="仿宋" w:eastAsia="仿宋"/>
          <w:b/>
          <w:sz w:val="32"/>
          <w:szCs w:val="32"/>
          <w:lang w:val="en-US" w:eastAsia="zh-CN"/>
        </w:rPr>
        <w:t>基本</w:t>
      </w:r>
      <w:r>
        <w:rPr>
          <w:rFonts w:hint="eastAsia" w:ascii="仿宋" w:hAnsi="仿宋" w:eastAsia="仿宋"/>
          <w:b/>
          <w:sz w:val="32"/>
          <w:szCs w:val="32"/>
        </w:rPr>
        <w:t>情况</w:t>
      </w:r>
    </w:p>
    <w:p w14:paraId="5CCB185F">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rPr>
      </w:pPr>
      <w:r>
        <w:rPr>
          <w:rFonts w:hint="eastAsia" w:ascii="楷体" w:hAnsi="楷体" w:eastAsia="楷体" w:cs="楷体"/>
          <w:spacing w:val="5"/>
          <w:sz w:val="31"/>
          <w:szCs w:val="31"/>
        </w:rPr>
        <w:t>（一）项目基本情况简介。</w:t>
      </w:r>
    </w:p>
    <w:p w14:paraId="64AB6B85">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对11户煤矿进行安全评估，预算费用83万元。其中，井工煤矿7户，预算费用56万元（每户井工煤矿安全评估费8万元），分别是西乌旗白音华四号（井工）和华润五间房西一矿、多伦畅彤、黄旗塬林、阿旗查干淖尔一号、达安煤矿和鲁新煤矿；露天煤矿4户，预算费用20万元（每户露天煤矿安全评估费5万元），分别是西乌旗白音华一号矿和吉林郭勒二号矿、乌拉盖贺斯格乌拉、东苏旗芒来煤矿。另外安排交通费、差旅费等7万元。</w:t>
      </w:r>
    </w:p>
    <w:p w14:paraId="312A12E0">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pacing w:val="9"/>
          <w:sz w:val="31"/>
          <w:szCs w:val="31"/>
        </w:rPr>
      </w:pPr>
      <w:r>
        <w:rPr>
          <w:rFonts w:hint="eastAsia" w:ascii="楷体" w:hAnsi="楷体" w:eastAsia="楷体" w:cs="楷体"/>
          <w:spacing w:val="5"/>
          <w:sz w:val="31"/>
          <w:szCs w:val="31"/>
          <w:lang w:eastAsia="zh-CN"/>
        </w:rPr>
        <w:t>（</w:t>
      </w:r>
      <w:r>
        <w:rPr>
          <w:rFonts w:hint="eastAsia" w:ascii="楷体" w:hAnsi="楷体" w:eastAsia="楷体" w:cs="楷体"/>
          <w:spacing w:val="5"/>
          <w:sz w:val="31"/>
          <w:szCs w:val="31"/>
          <w:lang w:val="en-US" w:eastAsia="zh-CN"/>
        </w:rPr>
        <w:t>二</w:t>
      </w:r>
      <w:r>
        <w:rPr>
          <w:rFonts w:hint="eastAsia" w:ascii="楷体" w:hAnsi="楷体" w:eastAsia="楷体" w:cs="楷体"/>
          <w:spacing w:val="5"/>
          <w:sz w:val="31"/>
          <w:szCs w:val="31"/>
          <w:lang w:eastAsia="zh-CN"/>
        </w:rPr>
        <w:t>）</w:t>
      </w:r>
      <w:r>
        <w:rPr>
          <w:rFonts w:hint="eastAsia" w:ascii="楷体" w:hAnsi="楷体" w:eastAsia="楷体" w:cs="楷体"/>
          <w:spacing w:val="5"/>
          <w:sz w:val="31"/>
          <w:szCs w:val="31"/>
        </w:rPr>
        <w:t>绩效目标设定及</w:t>
      </w:r>
      <w:r>
        <w:rPr>
          <w:rFonts w:hint="eastAsia" w:ascii="楷体" w:hAnsi="楷体" w:eastAsia="楷体" w:cs="楷体"/>
          <w:spacing w:val="5"/>
          <w:sz w:val="31"/>
          <w:szCs w:val="31"/>
          <w:lang w:val="en-US" w:eastAsia="zh-CN"/>
        </w:rPr>
        <w:t>指标</w:t>
      </w:r>
      <w:r>
        <w:rPr>
          <w:rFonts w:hint="eastAsia" w:ascii="楷体" w:hAnsi="楷体" w:eastAsia="楷体" w:cs="楷体"/>
          <w:spacing w:val="5"/>
          <w:sz w:val="31"/>
          <w:szCs w:val="31"/>
        </w:rPr>
        <w:t>完成情况。</w:t>
      </w:r>
    </w:p>
    <w:p w14:paraId="3FDE042C">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default"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预期目标：</w:t>
      </w:r>
      <w:r>
        <w:rPr>
          <w:rFonts w:hint="eastAsia" w:ascii="仿宋" w:hAnsi="仿宋" w:eastAsia="仿宋" w:cs="仿宋"/>
          <w:spacing w:val="9"/>
          <w:sz w:val="31"/>
          <w:szCs w:val="31"/>
        </w:rPr>
        <w:t>完成对11户煤矿进行安全评估，其中，井工煤矿7户，露天煤矿4户，支付评估费用及交通费、差旅费等相关费用</w:t>
      </w:r>
      <w:r>
        <w:rPr>
          <w:rFonts w:hint="eastAsia" w:ascii="仿宋" w:hAnsi="仿宋" w:eastAsia="仿宋" w:cs="仿宋"/>
          <w:spacing w:val="9"/>
          <w:sz w:val="31"/>
          <w:szCs w:val="31"/>
          <w:lang w:val="en-US" w:eastAsia="zh-CN"/>
        </w:rPr>
        <w:t>绩效目标实际完成情况：</w:t>
      </w:r>
      <w:r>
        <w:rPr>
          <w:rFonts w:hint="eastAsia" w:ascii="仿宋" w:hAnsi="仿宋" w:eastAsia="仿宋" w:cs="仿宋"/>
          <w:spacing w:val="9"/>
          <w:sz w:val="31"/>
          <w:szCs w:val="31"/>
        </w:rPr>
        <w:t>数量指标：安全评估井工煤矿数量完成7户，安全评估露天煤矿数量完成4户，完成了年初设定的绩效目标；质量指标：评估完成率100%，项目完成率100%，完成了年初设定的绩效目标；时效指标：评估按时完成率100%,项目完成时间1年，完成了年初设定的绩效目标；成本指标：评估工作差旅费0万元，聘请第三方委托费63.8万元，差旅费未完成目标的原因是未产生相关费用，其他指标均完成了年初设的目标。</w:t>
      </w:r>
    </w:p>
    <w:p w14:paraId="45701372">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both"/>
        <w:textAlignment w:val="auto"/>
        <w:outlineLvl w:val="9"/>
        <w:rPr>
          <w:rFonts w:ascii="仿宋" w:hAnsi="仿宋" w:eastAsia="仿宋"/>
          <w:b/>
          <w:sz w:val="32"/>
          <w:szCs w:val="32"/>
        </w:rPr>
      </w:pPr>
      <w:r>
        <w:rPr>
          <w:rFonts w:hint="eastAsia" w:ascii="仿宋" w:hAnsi="仿宋" w:eastAsia="仿宋"/>
          <w:b/>
          <w:sz w:val="32"/>
          <w:szCs w:val="32"/>
          <w:lang w:val="en-US" w:eastAsia="zh-CN"/>
        </w:rPr>
        <w:t>二、绩效自评工作</w:t>
      </w:r>
      <w:r>
        <w:rPr>
          <w:rFonts w:hint="eastAsia" w:ascii="仿宋" w:hAnsi="仿宋" w:eastAsia="仿宋"/>
          <w:b/>
          <w:sz w:val="32"/>
          <w:szCs w:val="32"/>
        </w:rPr>
        <w:t>情况</w:t>
      </w:r>
    </w:p>
    <w:p w14:paraId="766033F6">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rPr>
      </w:pPr>
      <w:r>
        <w:rPr>
          <w:rFonts w:hint="eastAsia" w:ascii="楷体" w:hAnsi="楷体" w:eastAsia="楷体" w:cs="楷体"/>
          <w:spacing w:val="5"/>
          <w:sz w:val="31"/>
          <w:szCs w:val="31"/>
          <w:lang w:eastAsia="zh-CN"/>
        </w:rPr>
        <w:t>（</w:t>
      </w:r>
      <w:r>
        <w:rPr>
          <w:rFonts w:hint="eastAsia" w:ascii="楷体" w:hAnsi="楷体" w:eastAsia="楷体" w:cs="楷体"/>
          <w:spacing w:val="5"/>
          <w:sz w:val="31"/>
          <w:szCs w:val="31"/>
          <w:lang w:val="en-US" w:eastAsia="zh-CN"/>
        </w:rPr>
        <w:t>一</w:t>
      </w:r>
      <w:r>
        <w:rPr>
          <w:rFonts w:hint="eastAsia" w:ascii="楷体" w:hAnsi="楷体" w:eastAsia="楷体" w:cs="楷体"/>
          <w:spacing w:val="5"/>
          <w:sz w:val="31"/>
          <w:szCs w:val="31"/>
          <w:lang w:eastAsia="zh-CN"/>
        </w:rPr>
        <w:t>）</w:t>
      </w:r>
      <w:r>
        <w:rPr>
          <w:rFonts w:hint="eastAsia" w:ascii="楷体" w:hAnsi="楷体" w:eastAsia="楷体" w:cs="楷体"/>
          <w:spacing w:val="5"/>
          <w:sz w:val="31"/>
          <w:szCs w:val="31"/>
        </w:rPr>
        <w:t>绩效自评目的。</w:t>
      </w:r>
    </w:p>
    <w:p w14:paraId="78A59E11">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default" w:ascii="仿宋" w:hAnsi="仿宋" w:eastAsia="仿宋" w:cs="仿宋"/>
          <w:spacing w:val="9"/>
          <w:sz w:val="31"/>
          <w:szCs w:val="31"/>
        </w:rPr>
      </w:pPr>
      <w:r>
        <w:rPr>
          <w:rFonts w:hint="default" w:ascii="仿宋" w:hAnsi="仿宋" w:eastAsia="仿宋" w:cs="仿宋"/>
          <w:spacing w:val="9"/>
          <w:sz w:val="31"/>
          <w:szCs w:val="31"/>
        </w:rPr>
        <w:t>一是考核本项目目标的完成情况、预算资金的使用情况、财务管理情况、资源配置情况、项目管理制度及措施的实施情况；二是总结项目经验，完善和规范下一年度的项目编制，改进项目方案和实施计划，完善项目绩效考核指标，建立科学、规范、针对性强的评价指标体系；三是进一步提升项目绩效管理水平，更好的开展项目执行工作，提升所产生的经济效益、社会效益。四是进一步强化各科室职工的岗位职责，提高责任意识；通过自评结果的合理运用，为下一年预算的制定的执行提供经验。</w:t>
      </w:r>
    </w:p>
    <w:p w14:paraId="5FA20297">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rPr>
      </w:pPr>
      <w:r>
        <w:rPr>
          <w:rFonts w:hint="eastAsia" w:ascii="楷体" w:hAnsi="楷体" w:eastAsia="楷体" w:cs="楷体"/>
          <w:spacing w:val="5"/>
          <w:sz w:val="31"/>
          <w:szCs w:val="31"/>
        </w:rPr>
        <w:t>（二）项目资金投入情况。</w:t>
      </w:r>
    </w:p>
    <w:p w14:paraId="7B8A14FF">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本年度资金年初预算数</w:t>
      </w:r>
      <w:r>
        <w:rPr>
          <w:rFonts w:hint="eastAsia" w:ascii="仿宋" w:hAnsi="仿宋" w:eastAsia="仿宋" w:cs="仿宋"/>
          <w:spacing w:val="9"/>
          <w:sz w:val="31"/>
          <w:szCs w:val="31"/>
        </w:rPr>
        <w:t>81.46万元，其中：财政拨款81.46万元，其他资金0万元。</w:t>
      </w:r>
    </w:p>
    <w:p w14:paraId="2B204383">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default"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本年度资金全年预算数</w:t>
      </w:r>
      <w:r>
        <w:rPr>
          <w:rFonts w:hint="eastAsia" w:ascii="仿宋" w:hAnsi="仿宋" w:eastAsia="仿宋" w:cs="仿宋"/>
          <w:spacing w:val="9"/>
          <w:sz w:val="31"/>
          <w:szCs w:val="31"/>
        </w:rPr>
        <w:t>81.46万元，其中：财政拨款81.46万元，其他资金0万元。</w:t>
      </w:r>
    </w:p>
    <w:p w14:paraId="1A5145B7">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default"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本年度资金全年执行数</w:t>
      </w:r>
      <w:r>
        <w:rPr>
          <w:rFonts w:hint="eastAsia" w:ascii="仿宋" w:hAnsi="仿宋" w:eastAsia="仿宋" w:cs="仿宋"/>
          <w:spacing w:val="9"/>
          <w:sz w:val="31"/>
          <w:szCs w:val="31"/>
        </w:rPr>
        <w:t>63.80万元，其中：财政拨款63.80万元，其他资金0.00万元。</w:t>
      </w:r>
    </w:p>
    <w:p w14:paraId="27632EB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rPr>
      </w:pPr>
      <w:r>
        <w:rPr>
          <w:rFonts w:hint="eastAsia" w:ascii="楷体" w:hAnsi="楷体" w:eastAsia="楷体" w:cs="楷体"/>
          <w:spacing w:val="5"/>
          <w:sz w:val="31"/>
          <w:szCs w:val="31"/>
        </w:rPr>
        <w:t>项目资金产出情况。</w:t>
      </w:r>
    </w:p>
    <w:p w14:paraId="1C8DEF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default" w:ascii="仿宋" w:hAnsi="仿宋" w:eastAsia="仿宋" w:cs="仿宋"/>
          <w:spacing w:val="9"/>
          <w:sz w:val="31"/>
          <w:szCs w:val="31"/>
        </w:rPr>
        <w:t>该项目资金为一般公共预算财政拨款预算项目收入，为上年结转的项目资金，主要用于完成对11户煤矿进行安全评估产生的评估费及其他费用支出，2023年预算安排81.46万元，截止年末该资金共支出63.8万元，执行率为78.32%，主要用于聘请第三方进行安全评估产生的委托费用，资金专款专用，有效保障了安全评估工作的进行，基本完成了年初设定的绩效目标。</w:t>
      </w:r>
    </w:p>
    <w:p w14:paraId="7C9BC20A">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rPr>
      </w:pPr>
      <w:r>
        <w:rPr>
          <w:rFonts w:hint="eastAsia" w:ascii="楷体" w:hAnsi="楷体" w:eastAsia="楷体" w:cs="楷体"/>
          <w:spacing w:val="5"/>
          <w:sz w:val="31"/>
          <w:szCs w:val="31"/>
          <w:lang w:eastAsia="zh-CN"/>
        </w:rPr>
        <w:t>（</w:t>
      </w:r>
      <w:r>
        <w:rPr>
          <w:rFonts w:hint="eastAsia" w:ascii="楷体" w:hAnsi="楷体" w:eastAsia="楷体" w:cs="楷体"/>
          <w:spacing w:val="5"/>
          <w:sz w:val="31"/>
          <w:szCs w:val="31"/>
          <w:lang w:val="en-US" w:eastAsia="zh-CN"/>
        </w:rPr>
        <w:t>四</w:t>
      </w:r>
      <w:r>
        <w:rPr>
          <w:rFonts w:hint="eastAsia" w:ascii="楷体" w:hAnsi="楷体" w:eastAsia="楷体" w:cs="楷体"/>
          <w:spacing w:val="5"/>
          <w:sz w:val="31"/>
          <w:szCs w:val="31"/>
          <w:lang w:eastAsia="zh-CN"/>
        </w:rPr>
        <w:t>）</w:t>
      </w:r>
      <w:r>
        <w:rPr>
          <w:rFonts w:hint="eastAsia" w:ascii="楷体" w:hAnsi="楷体" w:eastAsia="楷体" w:cs="楷体"/>
          <w:spacing w:val="5"/>
          <w:sz w:val="31"/>
          <w:szCs w:val="31"/>
        </w:rPr>
        <w:t>项目资金管理情况。</w:t>
      </w:r>
    </w:p>
    <w:p w14:paraId="1CB32C5A">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default" w:ascii="仿宋" w:hAnsi="仿宋" w:eastAsia="仿宋" w:cs="仿宋"/>
          <w:spacing w:val="9"/>
          <w:sz w:val="31"/>
          <w:szCs w:val="31"/>
        </w:rPr>
        <w:t>在资金使用过程中，严把监督审核关，建立健全内部审批制度，严格按照规章制度申请、审批、支付，每笔用款申请，在所附单据资料齐备的情况下，审核确认后付款，做到财务会计资料披露信息真实、及时、完整，资金拨付有完整的审批程序和手续，各项制度落实较好，资金使用较为安全规范，项目资金专款专用，无挪用项目经费的情况出现。</w:t>
      </w:r>
    </w:p>
    <w:p w14:paraId="2B0ED82C">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both"/>
        <w:textAlignment w:val="auto"/>
        <w:outlineLvl w:val="9"/>
        <w:rPr>
          <w:rFonts w:ascii="仿宋" w:hAnsi="仿宋" w:eastAsia="仿宋"/>
          <w:b/>
          <w:sz w:val="32"/>
          <w:szCs w:val="32"/>
        </w:rPr>
      </w:pPr>
      <w:r>
        <w:rPr>
          <w:rFonts w:hint="eastAsia" w:ascii="仿宋" w:hAnsi="仿宋" w:eastAsia="仿宋"/>
          <w:b/>
          <w:sz w:val="32"/>
          <w:szCs w:val="32"/>
          <w:lang w:val="en-US" w:eastAsia="zh-CN"/>
        </w:rPr>
        <w:t>三、项目绩效情况</w:t>
      </w:r>
    </w:p>
    <w:p w14:paraId="4D61968B">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rPr>
      </w:pPr>
      <w:r>
        <w:rPr>
          <w:rFonts w:hint="eastAsia" w:ascii="楷体" w:hAnsi="楷体" w:eastAsia="楷体" w:cs="楷体"/>
          <w:spacing w:val="5"/>
          <w:sz w:val="31"/>
          <w:szCs w:val="31"/>
        </w:rPr>
        <w:t>(一) 产出指标完成情况</w:t>
      </w:r>
    </w:p>
    <w:p w14:paraId="59A56B6B">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1、数量指标</w:t>
      </w:r>
    </w:p>
    <w:p w14:paraId="2B69A637">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1)安全评估井工煤矿数量，目标值</w:t>
      </w:r>
      <w:r>
        <w:rPr>
          <w:rFonts w:hint="eastAsia" w:ascii="仿宋" w:hAnsi="仿宋" w:eastAsia="仿宋" w:cs="仿宋"/>
          <w:spacing w:val="9"/>
          <w:sz w:val="31"/>
          <w:szCs w:val="31"/>
          <w:lang w:val="en-US" w:eastAsia="zh-CN"/>
        </w:rPr>
        <w:t>等于</w:t>
      </w:r>
      <w:r>
        <w:rPr>
          <w:rFonts w:hint="eastAsia" w:ascii="仿宋" w:hAnsi="仿宋" w:eastAsia="仿宋" w:cs="仿宋"/>
          <w:spacing w:val="9"/>
          <w:sz w:val="31"/>
          <w:szCs w:val="31"/>
        </w:rPr>
        <w:t>7户，</w:t>
      </w:r>
      <w:r>
        <w:rPr>
          <w:rFonts w:hint="eastAsia" w:ascii="仿宋" w:hAnsi="仿宋" w:eastAsia="仿宋" w:cs="仿宋"/>
          <w:spacing w:val="9"/>
          <w:sz w:val="31"/>
          <w:szCs w:val="31"/>
          <w:lang w:val="en-US" w:eastAsia="zh-CN"/>
        </w:rPr>
        <w:t>实际</w:t>
      </w:r>
      <w:r>
        <w:rPr>
          <w:rFonts w:hint="eastAsia" w:ascii="仿宋" w:hAnsi="仿宋" w:eastAsia="仿宋" w:cs="仿宋"/>
          <w:spacing w:val="9"/>
          <w:sz w:val="31"/>
          <w:szCs w:val="31"/>
        </w:rPr>
        <w:t>完成7户，分值10，得分10。</w:t>
      </w:r>
    </w:p>
    <w:p w14:paraId="7CC05E43">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2)安全评估露天煤矿数量，目标值</w:t>
      </w:r>
      <w:r>
        <w:rPr>
          <w:rFonts w:hint="eastAsia" w:ascii="仿宋" w:hAnsi="仿宋" w:eastAsia="仿宋" w:cs="仿宋"/>
          <w:spacing w:val="9"/>
          <w:sz w:val="31"/>
          <w:szCs w:val="31"/>
          <w:lang w:val="en-US" w:eastAsia="zh-CN"/>
        </w:rPr>
        <w:t>等于</w:t>
      </w:r>
      <w:r>
        <w:rPr>
          <w:rFonts w:hint="eastAsia" w:ascii="仿宋" w:hAnsi="仿宋" w:eastAsia="仿宋" w:cs="仿宋"/>
          <w:spacing w:val="9"/>
          <w:sz w:val="31"/>
          <w:szCs w:val="31"/>
        </w:rPr>
        <w:t>4户，</w:t>
      </w:r>
      <w:r>
        <w:rPr>
          <w:rFonts w:hint="eastAsia" w:ascii="仿宋" w:hAnsi="仿宋" w:eastAsia="仿宋" w:cs="仿宋"/>
          <w:spacing w:val="9"/>
          <w:sz w:val="31"/>
          <w:szCs w:val="31"/>
          <w:lang w:val="en-US" w:eastAsia="zh-CN"/>
        </w:rPr>
        <w:t>实际</w:t>
      </w:r>
      <w:r>
        <w:rPr>
          <w:rFonts w:hint="eastAsia" w:ascii="仿宋" w:hAnsi="仿宋" w:eastAsia="仿宋" w:cs="仿宋"/>
          <w:spacing w:val="9"/>
          <w:sz w:val="31"/>
          <w:szCs w:val="31"/>
        </w:rPr>
        <w:t>完成4户，分值5，得分5。</w:t>
      </w:r>
    </w:p>
    <w:p w14:paraId="02850FF1">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2、质量指标</w:t>
      </w:r>
    </w:p>
    <w:p w14:paraId="068A6846">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3)评估完成率，目标值</w:t>
      </w:r>
      <w:r>
        <w:rPr>
          <w:rFonts w:hint="eastAsia" w:ascii="仿宋" w:hAnsi="仿宋" w:eastAsia="仿宋" w:cs="仿宋"/>
          <w:spacing w:val="9"/>
          <w:sz w:val="31"/>
          <w:szCs w:val="31"/>
          <w:lang w:val="en-US" w:eastAsia="zh-CN"/>
        </w:rPr>
        <w:t>等于</w:t>
      </w:r>
      <w:r>
        <w:rPr>
          <w:rFonts w:hint="eastAsia" w:ascii="仿宋" w:hAnsi="仿宋" w:eastAsia="仿宋" w:cs="仿宋"/>
          <w:spacing w:val="9"/>
          <w:sz w:val="31"/>
          <w:szCs w:val="31"/>
        </w:rPr>
        <w:t>100%，</w:t>
      </w:r>
      <w:r>
        <w:rPr>
          <w:rFonts w:hint="eastAsia" w:ascii="仿宋" w:hAnsi="仿宋" w:eastAsia="仿宋" w:cs="仿宋"/>
          <w:spacing w:val="9"/>
          <w:sz w:val="31"/>
          <w:szCs w:val="31"/>
          <w:lang w:val="en-US" w:eastAsia="zh-CN"/>
        </w:rPr>
        <w:t>实际</w:t>
      </w:r>
      <w:r>
        <w:rPr>
          <w:rFonts w:hint="eastAsia" w:ascii="仿宋" w:hAnsi="仿宋" w:eastAsia="仿宋" w:cs="仿宋"/>
          <w:spacing w:val="9"/>
          <w:sz w:val="31"/>
          <w:szCs w:val="31"/>
        </w:rPr>
        <w:t>完成100%，分值10，得分10。</w:t>
      </w:r>
    </w:p>
    <w:p w14:paraId="7A30A5C4">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4)项目完成率，目标值</w:t>
      </w:r>
      <w:r>
        <w:rPr>
          <w:rFonts w:hint="eastAsia" w:ascii="仿宋" w:hAnsi="仿宋" w:eastAsia="仿宋" w:cs="仿宋"/>
          <w:spacing w:val="9"/>
          <w:sz w:val="31"/>
          <w:szCs w:val="31"/>
          <w:lang w:val="en-US" w:eastAsia="zh-CN"/>
        </w:rPr>
        <w:t>等于</w:t>
      </w:r>
      <w:r>
        <w:rPr>
          <w:rFonts w:hint="eastAsia" w:ascii="仿宋" w:hAnsi="仿宋" w:eastAsia="仿宋" w:cs="仿宋"/>
          <w:spacing w:val="9"/>
          <w:sz w:val="31"/>
          <w:szCs w:val="31"/>
        </w:rPr>
        <w:t>100%，</w:t>
      </w:r>
      <w:r>
        <w:rPr>
          <w:rFonts w:hint="eastAsia" w:ascii="仿宋" w:hAnsi="仿宋" w:eastAsia="仿宋" w:cs="仿宋"/>
          <w:spacing w:val="9"/>
          <w:sz w:val="31"/>
          <w:szCs w:val="31"/>
          <w:lang w:val="en-US" w:eastAsia="zh-CN"/>
        </w:rPr>
        <w:t>实际</w:t>
      </w:r>
      <w:r>
        <w:rPr>
          <w:rFonts w:hint="eastAsia" w:ascii="仿宋" w:hAnsi="仿宋" w:eastAsia="仿宋" w:cs="仿宋"/>
          <w:spacing w:val="9"/>
          <w:sz w:val="31"/>
          <w:szCs w:val="31"/>
        </w:rPr>
        <w:t>完成100%，分值5，得分5。</w:t>
      </w:r>
    </w:p>
    <w:p w14:paraId="59234011">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3、时效指标</w:t>
      </w:r>
    </w:p>
    <w:p w14:paraId="08C34BC6">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5)评估按时完成率，目标值</w:t>
      </w:r>
      <w:r>
        <w:rPr>
          <w:rFonts w:hint="eastAsia" w:ascii="仿宋" w:hAnsi="仿宋" w:eastAsia="仿宋" w:cs="仿宋"/>
          <w:spacing w:val="9"/>
          <w:sz w:val="31"/>
          <w:szCs w:val="31"/>
          <w:lang w:val="en-US" w:eastAsia="zh-CN"/>
        </w:rPr>
        <w:t>等于</w:t>
      </w:r>
      <w:r>
        <w:rPr>
          <w:rFonts w:hint="eastAsia" w:ascii="仿宋" w:hAnsi="仿宋" w:eastAsia="仿宋" w:cs="仿宋"/>
          <w:spacing w:val="9"/>
          <w:sz w:val="31"/>
          <w:szCs w:val="31"/>
        </w:rPr>
        <w:t>100%，</w:t>
      </w:r>
      <w:r>
        <w:rPr>
          <w:rFonts w:hint="eastAsia" w:ascii="仿宋" w:hAnsi="仿宋" w:eastAsia="仿宋" w:cs="仿宋"/>
          <w:spacing w:val="9"/>
          <w:sz w:val="31"/>
          <w:szCs w:val="31"/>
          <w:lang w:val="en-US" w:eastAsia="zh-CN"/>
        </w:rPr>
        <w:t>实际</w:t>
      </w:r>
      <w:r>
        <w:rPr>
          <w:rFonts w:hint="eastAsia" w:ascii="仿宋" w:hAnsi="仿宋" w:eastAsia="仿宋" w:cs="仿宋"/>
          <w:spacing w:val="9"/>
          <w:sz w:val="31"/>
          <w:szCs w:val="31"/>
        </w:rPr>
        <w:t>完成100%，分值5，得分5。</w:t>
      </w:r>
    </w:p>
    <w:p w14:paraId="046729D4">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6)项目完成时间，目标值</w:t>
      </w:r>
      <w:r>
        <w:rPr>
          <w:rFonts w:hint="eastAsia" w:ascii="仿宋" w:hAnsi="仿宋" w:eastAsia="仿宋" w:cs="仿宋"/>
          <w:spacing w:val="9"/>
          <w:sz w:val="31"/>
          <w:szCs w:val="31"/>
          <w:lang w:val="en-US" w:eastAsia="zh-CN"/>
        </w:rPr>
        <w:t>等于</w:t>
      </w:r>
      <w:r>
        <w:rPr>
          <w:rFonts w:hint="eastAsia" w:ascii="仿宋" w:hAnsi="仿宋" w:eastAsia="仿宋" w:cs="仿宋"/>
          <w:spacing w:val="9"/>
          <w:sz w:val="31"/>
          <w:szCs w:val="31"/>
        </w:rPr>
        <w:t>1年，</w:t>
      </w:r>
      <w:r>
        <w:rPr>
          <w:rFonts w:hint="eastAsia" w:ascii="仿宋" w:hAnsi="仿宋" w:eastAsia="仿宋" w:cs="仿宋"/>
          <w:spacing w:val="9"/>
          <w:sz w:val="31"/>
          <w:szCs w:val="31"/>
          <w:lang w:val="en-US" w:eastAsia="zh-CN"/>
        </w:rPr>
        <w:t>实际</w:t>
      </w:r>
      <w:r>
        <w:rPr>
          <w:rFonts w:hint="eastAsia" w:ascii="仿宋" w:hAnsi="仿宋" w:eastAsia="仿宋" w:cs="仿宋"/>
          <w:spacing w:val="9"/>
          <w:sz w:val="31"/>
          <w:szCs w:val="31"/>
        </w:rPr>
        <w:t>完成1年，分值5，得分5。</w:t>
      </w:r>
    </w:p>
    <w:p w14:paraId="5C61978A">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4、成本指标</w:t>
      </w:r>
    </w:p>
    <w:p w14:paraId="7DD21705">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7)评估工作差旅费，目标值</w:t>
      </w:r>
      <w:r>
        <w:rPr>
          <w:rFonts w:hint="eastAsia" w:ascii="仿宋" w:hAnsi="仿宋" w:eastAsia="仿宋" w:cs="仿宋"/>
          <w:spacing w:val="9"/>
          <w:sz w:val="31"/>
          <w:szCs w:val="31"/>
          <w:lang w:val="en-US" w:eastAsia="zh-CN"/>
        </w:rPr>
        <w:t>小于等于</w:t>
      </w:r>
      <w:r>
        <w:rPr>
          <w:rFonts w:hint="eastAsia" w:ascii="仿宋" w:hAnsi="仿宋" w:eastAsia="仿宋" w:cs="仿宋"/>
          <w:spacing w:val="9"/>
          <w:sz w:val="31"/>
          <w:szCs w:val="31"/>
        </w:rPr>
        <w:t>5.46万元，</w:t>
      </w:r>
      <w:r>
        <w:rPr>
          <w:rFonts w:hint="eastAsia" w:ascii="仿宋" w:hAnsi="仿宋" w:eastAsia="仿宋" w:cs="仿宋"/>
          <w:spacing w:val="9"/>
          <w:sz w:val="31"/>
          <w:szCs w:val="31"/>
          <w:lang w:val="en-US" w:eastAsia="zh-CN"/>
        </w:rPr>
        <w:t>实际</w:t>
      </w:r>
      <w:r>
        <w:rPr>
          <w:rFonts w:hint="eastAsia" w:ascii="仿宋" w:hAnsi="仿宋" w:eastAsia="仿宋" w:cs="仿宋"/>
          <w:spacing w:val="9"/>
          <w:sz w:val="31"/>
          <w:szCs w:val="31"/>
        </w:rPr>
        <w:t>完成0万元，分值5，得分0。</w:t>
      </w:r>
    </w:p>
    <w:p w14:paraId="71EE9B60">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8)聘请第三方委托费，目标值</w:t>
      </w:r>
      <w:r>
        <w:rPr>
          <w:rFonts w:hint="eastAsia" w:ascii="仿宋" w:hAnsi="仿宋" w:eastAsia="仿宋" w:cs="仿宋"/>
          <w:spacing w:val="9"/>
          <w:sz w:val="31"/>
          <w:szCs w:val="31"/>
          <w:lang w:val="en-US" w:eastAsia="zh-CN"/>
        </w:rPr>
        <w:t>小于等于</w:t>
      </w:r>
      <w:r>
        <w:rPr>
          <w:rFonts w:hint="eastAsia" w:ascii="仿宋" w:hAnsi="仿宋" w:eastAsia="仿宋" w:cs="仿宋"/>
          <w:spacing w:val="9"/>
          <w:sz w:val="31"/>
          <w:szCs w:val="31"/>
        </w:rPr>
        <w:t>76万元，</w:t>
      </w:r>
      <w:r>
        <w:rPr>
          <w:rFonts w:hint="eastAsia" w:ascii="仿宋" w:hAnsi="仿宋" w:eastAsia="仿宋" w:cs="仿宋"/>
          <w:spacing w:val="9"/>
          <w:sz w:val="31"/>
          <w:szCs w:val="31"/>
          <w:lang w:val="en-US" w:eastAsia="zh-CN"/>
        </w:rPr>
        <w:t>实际</w:t>
      </w:r>
      <w:r>
        <w:rPr>
          <w:rFonts w:hint="eastAsia" w:ascii="仿宋" w:hAnsi="仿宋" w:eastAsia="仿宋" w:cs="仿宋"/>
          <w:spacing w:val="9"/>
          <w:sz w:val="31"/>
          <w:szCs w:val="31"/>
        </w:rPr>
        <w:t>完成63.8万元，分值5，得分5。</w:t>
      </w:r>
    </w:p>
    <w:p w14:paraId="50C97126">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rPr>
      </w:pPr>
      <w:r>
        <w:rPr>
          <w:rFonts w:hint="eastAsia" w:ascii="楷体" w:hAnsi="楷体" w:eastAsia="楷体" w:cs="楷体"/>
          <w:spacing w:val="5"/>
          <w:sz w:val="31"/>
          <w:szCs w:val="31"/>
        </w:rPr>
        <w:t>(二) 效益指标完成情况</w:t>
      </w:r>
    </w:p>
    <w:p w14:paraId="40981799">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5、经济效益</w:t>
      </w:r>
    </w:p>
    <w:p w14:paraId="62216C9B">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6、社会效益</w:t>
      </w:r>
    </w:p>
    <w:p w14:paraId="11FEB2FB">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9)煤矿生产，目标值安全稳定运行，</w:t>
      </w:r>
      <w:r>
        <w:rPr>
          <w:rFonts w:hint="eastAsia" w:ascii="仿宋" w:hAnsi="仿宋" w:eastAsia="仿宋" w:cs="仿宋"/>
          <w:spacing w:val="9"/>
          <w:sz w:val="31"/>
          <w:szCs w:val="31"/>
          <w:lang w:val="en-US" w:eastAsia="zh-CN"/>
        </w:rPr>
        <w:t>实际</w:t>
      </w:r>
      <w:r>
        <w:rPr>
          <w:rFonts w:hint="eastAsia" w:ascii="仿宋" w:hAnsi="仿宋" w:eastAsia="仿宋" w:cs="仿宋"/>
          <w:spacing w:val="9"/>
          <w:sz w:val="31"/>
          <w:szCs w:val="31"/>
        </w:rPr>
        <w:t>完成安全稳定运行，分值15，得分15。</w:t>
      </w:r>
    </w:p>
    <w:p w14:paraId="5D53561F">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7、生态效益</w:t>
      </w:r>
    </w:p>
    <w:p w14:paraId="792497FC">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8、可持续影响</w:t>
      </w:r>
    </w:p>
    <w:p w14:paraId="1EC0D6C3">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10)煤矿运行，目标值持续安全稳定，</w:t>
      </w:r>
      <w:r>
        <w:rPr>
          <w:rFonts w:hint="eastAsia" w:ascii="仿宋" w:hAnsi="仿宋" w:eastAsia="仿宋" w:cs="仿宋"/>
          <w:spacing w:val="9"/>
          <w:sz w:val="31"/>
          <w:szCs w:val="31"/>
          <w:lang w:val="en-US" w:eastAsia="zh-CN"/>
        </w:rPr>
        <w:t>实际</w:t>
      </w:r>
      <w:r>
        <w:rPr>
          <w:rFonts w:hint="eastAsia" w:ascii="仿宋" w:hAnsi="仿宋" w:eastAsia="仿宋" w:cs="仿宋"/>
          <w:spacing w:val="9"/>
          <w:sz w:val="31"/>
          <w:szCs w:val="31"/>
        </w:rPr>
        <w:t>完成持续安全稳定，分值15，得分15。</w:t>
      </w:r>
    </w:p>
    <w:p w14:paraId="5D0C1FEA">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rPr>
      </w:pPr>
      <w:r>
        <w:rPr>
          <w:rFonts w:hint="eastAsia" w:ascii="楷体" w:hAnsi="楷体" w:eastAsia="楷体" w:cs="楷体"/>
          <w:spacing w:val="5"/>
          <w:sz w:val="31"/>
          <w:szCs w:val="31"/>
        </w:rPr>
        <w:t>(三) 满意度指标完成情况</w:t>
      </w:r>
    </w:p>
    <w:p w14:paraId="64DF89B2">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9、服务对象满意度</w:t>
      </w:r>
    </w:p>
    <w:p w14:paraId="631AD271">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11)群众满意度，目标值</w:t>
      </w:r>
      <w:r>
        <w:rPr>
          <w:rFonts w:hint="eastAsia" w:ascii="仿宋" w:hAnsi="仿宋" w:eastAsia="仿宋" w:cs="仿宋"/>
          <w:spacing w:val="9"/>
          <w:sz w:val="31"/>
          <w:szCs w:val="31"/>
          <w:lang w:val="en-US" w:eastAsia="zh-CN"/>
        </w:rPr>
        <w:t>等于</w:t>
      </w:r>
      <w:r>
        <w:rPr>
          <w:rFonts w:hint="eastAsia" w:ascii="仿宋" w:hAnsi="仿宋" w:eastAsia="仿宋" w:cs="仿宋"/>
          <w:spacing w:val="9"/>
          <w:sz w:val="31"/>
          <w:szCs w:val="31"/>
        </w:rPr>
        <w:t>100%，</w:t>
      </w:r>
      <w:r>
        <w:rPr>
          <w:rFonts w:hint="eastAsia" w:ascii="仿宋" w:hAnsi="仿宋" w:eastAsia="仿宋" w:cs="仿宋"/>
          <w:spacing w:val="9"/>
          <w:sz w:val="31"/>
          <w:szCs w:val="31"/>
          <w:lang w:val="en-US" w:eastAsia="zh-CN"/>
        </w:rPr>
        <w:t>实际</w:t>
      </w:r>
      <w:r>
        <w:rPr>
          <w:rFonts w:hint="eastAsia" w:ascii="仿宋" w:hAnsi="仿宋" w:eastAsia="仿宋" w:cs="仿宋"/>
          <w:spacing w:val="9"/>
          <w:sz w:val="31"/>
          <w:szCs w:val="31"/>
        </w:rPr>
        <w:t>完成100%，分值10，得分10。</w:t>
      </w:r>
    </w:p>
    <w:p w14:paraId="33B32E73">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default" w:ascii="仿宋" w:hAnsi="仿宋" w:eastAsia="仿宋" w:cs="仿宋"/>
          <w:spacing w:val="9"/>
          <w:sz w:val="31"/>
          <w:szCs w:val="31"/>
          <w:lang w:val="en-US" w:eastAsia="zh-CN"/>
        </w:rPr>
      </w:pPr>
      <w:r>
        <w:rPr>
          <w:rFonts w:hint="eastAsia" w:ascii="仿宋" w:hAnsi="仿宋" w:eastAsia="仿宋" w:cs="仿宋"/>
          <w:spacing w:val="9"/>
          <w:sz w:val="31"/>
          <w:szCs w:val="31"/>
          <w:lang w:eastAsia="zh-CN"/>
        </w:rPr>
        <w:t>（</w:t>
      </w:r>
      <w:r>
        <w:rPr>
          <w:rFonts w:hint="eastAsia" w:ascii="仿宋" w:hAnsi="仿宋" w:eastAsia="仿宋" w:cs="仿宋"/>
          <w:spacing w:val="9"/>
          <w:sz w:val="31"/>
          <w:szCs w:val="31"/>
          <w:lang w:val="en-US" w:eastAsia="zh-CN"/>
        </w:rPr>
        <w:t>四</w:t>
      </w:r>
      <w:r>
        <w:rPr>
          <w:rFonts w:hint="eastAsia" w:ascii="仿宋" w:hAnsi="仿宋" w:eastAsia="仿宋" w:cs="仿宋"/>
          <w:spacing w:val="9"/>
          <w:sz w:val="31"/>
          <w:szCs w:val="31"/>
          <w:lang w:eastAsia="zh-CN"/>
        </w:rPr>
        <w:t>）</w:t>
      </w:r>
      <w:r>
        <w:rPr>
          <w:rFonts w:hint="eastAsia" w:ascii="仿宋" w:hAnsi="仿宋" w:eastAsia="仿宋" w:cs="仿宋"/>
          <w:spacing w:val="9"/>
          <w:sz w:val="31"/>
          <w:szCs w:val="31"/>
          <w:lang w:val="en-US" w:eastAsia="zh-CN"/>
        </w:rPr>
        <w:t>自评得分情况</w:t>
      </w:r>
    </w:p>
    <w:p w14:paraId="46BBBC38">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本项目绩效自评得分92.83分，等级为A</w:t>
      </w:r>
      <w:r>
        <w:rPr>
          <w:rFonts w:hint="eastAsia" w:ascii="仿宋" w:hAnsi="仿宋" w:eastAsia="仿宋" w:cs="仿宋"/>
          <w:spacing w:val="9"/>
          <w:sz w:val="31"/>
          <w:szCs w:val="31"/>
          <w:lang w:eastAsia="zh-CN"/>
        </w:rPr>
        <w:t>。</w:t>
      </w:r>
    </w:p>
    <w:p w14:paraId="41AEF08D">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both"/>
        <w:textAlignment w:val="auto"/>
        <w:outlineLvl w:val="9"/>
        <w:rPr>
          <w:rFonts w:ascii="仿宋" w:hAnsi="仿宋" w:eastAsia="仿宋"/>
          <w:b/>
          <w:sz w:val="32"/>
          <w:szCs w:val="32"/>
        </w:rPr>
      </w:pPr>
      <w:r>
        <w:rPr>
          <w:rFonts w:hint="eastAsia" w:ascii="仿宋" w:hAnsi="仿宋" w:eastAsia="仿宋"/>
          <w:b/>
          <w:sz w:val="32"/>
          <w:szCs w:val="32"/>
          <w:lang w:val="en-US" w:eastAsia="zh-CN"/>
        </w:rPr>
        <w:t>四、</w:t>
      </w:r>
      <w:r>
        <w:rPr>
          <w:rFonts w:hint="eastAsia" w:ascii="仿宋" w:hAnsi="仿宋" w:eastAsia="仿宋"/>
          <w:b/>
          <w:sz w:val="32"/>
          <w:szCs w:val="32"/>
        </w:rPr>
        <w:t>存在</w:t>
      </w:r>
      <w:r>
        <w:rPr>
          <w:rFonts w:hint="eastAsia" w:ascii="仿宋" w:hAnsi="仿宋" w:eastAsia="仿宋"/>
          <w:b/>
          <w:sz w:val="32"/>
          <w:szCs w:val="32"/>
          <w:lang w:val="en-US" w:eastAsia="zh-CN"/>
        </w:rPr>
        <w:t>问题</w:t>
      </w:r>
    </w:p>
    <w:p w14:paraId="415320A7">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rPr>
      </w:pPr>
      <w:r>
        <w:rPr>
          <w:rFonts w:hint="eastAsia" w:ascii="楷体" w:hAnsi="楷体" w:eastAsia="楷体" w:cs="楷体"/>
          <w:spacing w:val="5"/>
          <w:sz w:val="31"/>
          <w:szCs w:val="31"/>
          <w:lang w:val="en-US" w:eastAsia="zh-CN"/>
        </w:rPr>
        <w:t>（一）项目立项、实施存在问题。</w:t>
      </w:r>
    </w:p>
    <w:p w14:paraId="0B8C5FD7">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rPr>
      </w:pPr>
      <w:r>
        <w:rPr>
          <w:rFonts w:hint="eastAsia" w:ascii="楷体" w:hAnsi="楷体" w:eastAsia="楷体" w:cs="楷体"/>
          <w:spacing w:val="5"/>
          <w:sz w:val="31"/>
          <w:szCs w:val="31"/>
          <w:lang w:val="en-US" w:eastAsia="zh-CN"/>
        </w:rPr>
        <w:t>（二）资金管理使用存在问题</w:t>
      </w:r>
    </w:p>
    <w:p w14:paraId="38278200">
      <w:pPr>
        <w:keepNext w:val="0"/>
        <w:keepLines w:val="0"/>
        <w:pageBreakBefore w:val="0"/>
        <w:kinsoku/>
        <w:wordWrap/>
        <w:overflowPunct/>
        <w:topLinePunct w:val="0"/>
        <w:autoSpaceDE/>
        <w:autoSpaceDN/>
        <w:bidi w:val="0"/>
        <w:adjustRightInd/>
        <w:snapToGrid/>
        <w:spacing w:line="360" w:lineRule="auto"/>
        <w:ind w:left="0" w:leftChars="0" w:firstLine="643" w:firstLineChars="200"/>
        <w:jc w:val="both"/>
        <w:textAlignment w:val="auto"/>
        <w:outlineLvl w:val="9"/>
        <w:rPr>
          <w:rFonts w:hint="eastAsia" w:ascii="仿宋" w:hAnsi="仿宋" w:eastAsia="仿宋"/>
          <w:b/>
          <w:sz w:val="32"/>
          <w:szCs w:val="32"/>
          <w:lang w:val="en-US" w:eastAsia="zh-CN"/>
        </w:rPr>
      </w:pPr>
      <w:r>
        <w:rPr>
          <w:rFonts w:hint="eastAsia" w:ascii="仿宋" w:hAnsi="仿宋" w:eastAsia="仿宋"/>
          <w:b/>
          <w:sz w:val="32"/>
          <w:szCs w:val="32"/>
        </w:rPr>
        <w:t>五、其他需要说明的</w:t>
      </w:r>
      <w:r>
        <w:rPr>
          <w:rFonts w:hint="eastAsia" w:ascii="仿宋" w:hAnsi="仿宋" w:eastAsia="仿宋"/>
          <w:b/>
          <w:sz w:val="32"/>
          <w:szCs w:val="32"/>
          <w:lang w:val="en-US" w:eastAsia="zh-CN"/>
        </w:rPr>
        <w:t>问题</w:t>
      </w:r>
    </w:p>
    <w:p w14:paraId="258F2E4B">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rPr>
      </w:pPr>
      <w:r>
        <w:rPr>
          <w:rFonts w:hint="eastAsia" w:ascii="楷体" w:hAnsi="楷体" w:eastAsia="楷体" w:cs="楷体"/>
          <w:spacing w:val="5"/>
          <w:sz w:val="31"/>
          <w:szCs w:val="31"/>
        </w:rPr>
        <w:t>（一）后续工作计划。</w:t>
      </w:r>
    </w:p>
    <w:p w14:paraId="53BB5445">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default" w:ascii="仿宋" w:hAnsi="仿宋" w:eastAsia="仿宋" w:cs="仿宋"/>
          <w:spacing w:val="9"/>
          <w:sz w:val="31"/>
          <w:szCs w:val="31"/>
        </w:rPr>
        <w:t>下一步我单位将继续加强项目绩效管理和业务工作督促，进一步发挥项目资金的做大使用效益，完善资金管理制度，规范项目绩效管理，提高项目绩效编制质量，科学合理的运用绩效考核结果。</w:t>
      </w:r>
    </w:p>
    <w:p w14:paraId="6FBDF8C7">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rPr>
      </w:pPr>
      <w:r>
        <w:rPr>
          <w:rFonts w:hint="eastAsia" w:ascii="楷体" w:hAnsi="楷体" w:eastAsia="楷体" w:cs="楷体"/>
          <w:spacing w:val="5"/>
          <w:sz w:val="31"/>
          <w:szCs w:val="31"/>
        </w:rPr>
        <w:t>（二）措施及办法。</w:t>
      </w:r>
    </w:p>
    <w:p w14:paraId="67585216">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default" w:ascii="仿宋" w:hAnsi="仿宋" w:eastAsia="仿宋" w:cs="仿宋"/>
          <w:spacing w:val="9"/>
          <w:sz w:val="31"/>
          <w:szCs w:val="31"/>
        </w:rPr>
      </w:pPr>
      <w:r>
        <w:rPr>
          <w:rFonts w:hint="eastAsia" w:ascii="仿宋" w:hAnsi="仿宋" w:eastAsia="仿宋" w:cs="仿宋"/>
          <w:spacing w:val="9"/>
          <w:sz w:val="31"/>
          <w:szCs w:val="31"/>
        </w:rPr>
        <w:t>1.严格预算绩效管理，坚持经费预算和资金绩效一体化管理理念，强化财政资金使用效益，政策实施效果和部门整体预算绩效管理，重大项目申报按规定程序开展事前绩效评估，无绩效目标或经评估预算绩效较低的不安排经费预算；2.落实绩效监控机制，加强对单位执行政策，项目跟踪管理。督促各科室落实绩效目标实现程度和预算执行进度的双监控机制。</w:t>
      </w:r>
    </w:p>
    <w:p w14:paraId="669DE80C">
      <w:pPr>
        <w:widowControl/>
        <w:spacing w:before="240" w:after="240"/>
        <w:jc w:val="left"/>
        <w:rPr>
          <w:rFonts w:hint="eastAsia" w:ascii="仿宋" w:hAnsi="仿宋" w:eastAsia="仿宋" w:cs="仿宋"/>
          <w:spacing w:val="9"/>
          <w:sz w:val="31"/>
          <w:szCs w:val="31"/>
        </w:rPr>
      </w:pPr>
      <w:r>
        <w:rPr>
          <w:rFonts w:hint="eastAsia" w:ascii="仿宋" w:hAnsi="仿宋" w:eastAsia="仿宋" w:cs="仿宋"/>
          <w:spacing w:val="9"/>
          <w:sz w:val="31"/>
          <w:szCs w:val="31"/>
        </w:rPr>
        <w:br w:type="page"/>
      </w:r>
    </w:p>
    <w:p w14:paraId="5685BBE7">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hint="eastAsia" w:ascii="方正仿宋_GB2312" w:hAnsi="方正仿宋_GB2312" w:eastAsia="方正仿宋_GB2312" w:cs="方正仿宋_GB2312"/>
          <w:kern w:val="0"/>
          <w:sz w:val="36"/>
          <w:szCs w:val="36"/>
        </w:rPr>
        <w:t>第三部分  名词解释</w:t>
      </w:r>
    </w:p>
    <w:p w14:paraId="70488AFA">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一、财政拨款收入：</w:t>
      </w:r>
      <w:r>
        <w:rPr>
          <w:rFonts w:hint="eastAsia" w:ascii="仿宋" w:hAnsi="仿宋" w:eastAsia="仿宋" w:cs="仿宋"/>
          <w:spacing w:val="9"/>
          <w:sz w:val="31"/>
          <w:szCs w:val="31"/>
        </w:rPr>
        <w:t>从同级财政部门取得的各类财政拨款，包括一般公共预算财政拨款、政府性基金预算财政拨款、国有资本经营预算财政拨款。</w:t>
      </w:r>
    </w:p>
    <w:p w14:paraId="3F6CADB7">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二、上级补助收入：</w:t>
      </w:r>
      <w:r>
        <w:rPr>
          <w:rFonts w:hint="eastAsia" w:ascii="仿宋" w:hAnsi="仿宋" w:eastAsia="仿宋" w:cs="仿宋"/>
          <w:spacing w:val="9"/>
          <w:sz w:val="31"/>
          <w:szCs w:val="31"/>
        </w:rPr>
        <w:t>指事业单位从主管部门和上级单位取得的非财政补助收入。</w:t>
      </w:r>
    </w:p>
    <w:p w14:paraId="669EB1CD">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三、财政专户管理教育收费：</w:t>
      </w:r>
      <w:r>
        <w:rPr>
          <w:rFonts w:hint="eastAsia" w:ascii="仿宋" w:hAnsi="仿宋" w:eastAsia="仿宋" w:cs="仿宋"/>
          <w:spacing w:val="9"/>
          <w:sz w:val="31"/>
          <w:szCs w:val="31"/>
        </w:rPr>
        <w:t>指缴入财政专户、实行专项管理的高中以上学费、住宿费、高校委托培养费、函大、电大、夜大及短训班培训费等教育收费。</w:t>
      </w:r>
    </w:p>
    <w:p w14:paraId="38F7B689">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四、事业收入：</w:t>
      </w:r>
      <w:r>
        <w:rPr>
          <w:rFonts w:hint="eastAsia" w:ascii="仿宋" w:hAnsi="仿宋" w:eastAsia="仿宋" w:cs="仿宋"/>
          <w:spacing w:val="9"/>
          <w:sz w:val="31"/>
          <w:szCs w:val="31"/>
        </w:rPr>
        <w:t>指事业单位开展专业业务活动及其辅助活动取得的收入。</w:t>
      </w:r>
    </w:p>
    <w:p w14:paraId="38E4564C">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五、经营收入：</w:t>
      </w:r>
      <w:r>
        <w:rPr>
          <w:rFonts w:hint="eastAsia" w:ascii="仿宋" w:hAnsi="仿宋" w:eastAsia="仿宋" w:cs="仿宋"/>
          <w:spacing w:val="9"/>
          <w:sz w:val="31"/>
          <w:szCs w:val="31"/>
        </w:rPr>
        <w:t>指事业单位在专业业务活动及其辅助活动之外开展非独立核算经营活动取得的收入。</w:t>
      </w:r>
    </w:p>
    <w:p w14:paraId="4479FAE1">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六、附属单位上缴收入：</w:t>
      </w:r>
      <w:r>
        <w:rPr>
          <w:rFonts w:hint="eastAsia" w:ascii="仿宋" w:hAnsi="仿宋" w:eastAsia="仿宋" w:cs="仿宋"/>
          <w:spacing w:val="9"/>
          <w:sz w:val="31"/>
          <w:szCs w:val="31"/>
        </w:rPr>
        <w:t>指事业单位取得附属独立核算单位按照有关规定上缴的收入。</w:t>
      </w:r>
    </w:p>
    <w:p w14:paraId="27C98E15">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七、其他收入：</w:t>
      </w:r>
      <w:r>
        <w:rPr>
          <w:rFonts w:hint="eastAsia" w:ascii="仿宋" w:hAnsi="仿宋" w:eastAsia="仿宋" w:cs="仿宋"/>
          <w:spacing w:val="9"/>
          <w:sz w:val="31"/>
          <w:szCs w:val="31"/>
        </w:rPr>
        <w:t>取得的除上述“财政拨款收入”、“上级补助收入”、“事业收入”、“经营收入”、“附属单位上缴收入”等以外的各项收入。</w:t>
      </w:r>
    </w:p>
    <w:p w14:paraId="50C94B55">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八、使用非财政拨款结余和专用结余：</w:t>
      </w:r>
      <w:r>
        <w:rPr>
          <w:rFonts w:hint="eastAsia" w:ascii="仿宋" w:hAnsi="仿宋" w:eastAsia="仿宋" w:cs="仿宋"/>
          <w:spacing w:val="9"/>
          <w:sz w:val="31"/>
          <w:szCs w:val="31"/>
        </w:rPr>
        <w:t>指事业单位按照预算管理要求使用非财政拨款结余和专用结余弥补当年收支差额的数额。</w:t>
      </w:r>
    </w:p>
    <w:p w14:paraId="36B7319C">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九、年初结转和结余：</w:t>
      </w:r>
      <w:r>
        <w:rPr>
          <w:rFonts w:hint="eastAsia" w:ascii="仿宋" w:hAnsi="仿宋" w:eastAsia="仿宋" w:cs="仿宋"/>
          <w:spacing w:val="9"/>
          <w:sz w:val="31"/>
          <w:szCs w:val="31"/>
        </w:rPr>
        <w:t>指单位上年结转本年使用的基本支出结转、项目支出结转和结余、经营结余。</w:t>
      </w:r>
    </w:p>
    <w:p w14:paraId="082132C0">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十、结余分配：</w:t>
      </w:r>
      <w:r>
        <w:rPr>
          <w:rFonts w:hint="eastAsia" w:ascii="仿宋" w:hAnsi="仿宋" w:eastAsia="仿宋" w:cs="仿宋"/>
          <w:spacing w:val="9"/>
          <w:sz w:val="31"/>
          <w:szCs w:val="31"/>
        </w:rPr>
        <w:t>指事业单位按规定缴纳企业所得税以及从非财政拨款结余或经营结余中提取各类结余的情况。</w:t>
      </w:r>
    </w:p>
    <w:p w14:paraId="172598BB">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十一、年末结转和结余资金：</w:t>
      </w:r>
      <w:r>
        <w:rPr>
          <w:rFonts w:hint="eastAsia" w:ascii="仿宋" w:hAnsi="仿宋" w:eastAsia="仿宋" w:cs="仿宋"/>
          <w:spacing w:val="9"/>
          <w:sz w:val="31"/>
          <w:szCs w:val="31"/>
        </w:rPr>
        <w:t>指单位结转下年的基本支出结转、项目支出结转和结余、经营结余。</w:t>
      </w:r>
    </w:p>
    <w:p w14:paraId="43CC00D5">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十二、基本支出：</w:t>
      </w:r>
      <w:r>
        <w:rPr>
          <w:rFonts w:hint="eastAsia" w:ascii="仿宋" w:hAnsi="仿宋" w:eastAsia="仿宋" w:cs="仿宋"/>
          <w:spacing w:val="9"/>
          <w:sz w:val="31"/>
          <w:szCs w:val="31"/>
        </w:rPr>
        <w:t>指为保障机构正常运转、完成日常工作任务所发生的支出，包括人员经费和公用经费。</w:t>
      </w:r>
    </w:p>
    <w:p w14:paraId="4D62FC24">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十三、项目支出：</w:t>
      </w:r>
      <w:r>
        <w:rPr>
          <w:rFonts w:hint="eastAsia" w:ascii="仿宋" w:hAnsi="仿宋" w:eastAsia="仿宋" w:cs="仿宋"/>
          <w:spacing w:val="9"/>
          <w:sz w:val="31"/>
          <w:szCs w:val="31"/>
        </w:rPr>
        <w:t>指在为完成特定的工作任务和事业发展目标所发生的支出。</w:t>
      </w:r>
    </w:p>
    <w:p w14:paraId="71469242">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十四、上缴上级支出：</w:t>
      </w:r>
      <w:r>
        <w:rPr>
          <w:rFonts w:hint="eastAsia" w:ascii="仿宋" w:hAnsi="仿宋" w:eastAsia="仿宋" w:cs="仿宋"/>
          <w:spacing w:val="9"/>
          <w:sz w:val="31"/>
          <w:szCs w:val="31"/>
        </w:rPr>
        <w:t>指事业单位按照财政部门和主管部门的规定上缴上级单位的支出。</w:t>
      </w:r>
    </w:p>
    <w:p w14:paraId="6761B393">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十五、经营支出：</w:t>
      </w:r>
      <w:r>
        <w:rPr>
          <w:rFonts w:hint="eastAsia" w:ascii="仿宋" w:hAnsi="仿宋" w:eastAsia="仿宋" w:cs="仿宋"/>
          <w:spacing w:val="9"/>
          <w:sz w:val="31"/>
          <w:szCs w:val="31"/>
        </w:rPr>
        <w:t>指事业单位在专业业务活动及其辅助活动之外开展非独立核算经营活动发生的支出。</w:t>
      </w:r>
    </w:p>
    <w:p w14:paraId="27FAC562">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十六、对附属单位补助支出：</w:t>
      </w:r>
      <w:r>
        <w:rPr>
          <w:rFonts w:hint="eastAsia" w:ascii="仿宋" w:hAnsi="仿宋" w:eastAsia="仿宋" w:cs="仿宋"/>
          <w:spacing w:val="9"/>
          <w:sz w:val="31"/>
          <w:szCs w:val="31"/>
        </w:rPr>
        <w:t>指事业单位用财政拨款收入之外的收入对附属单位补助发生的支出。</w:t>
      </w:r>
    </w:p>
    <w:p w14:paraId="5967F6A2">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十七、“三公”经费：</w:t>
      </w:r>
      <w:r>
        <w:rPr>
          <w:rFonts w:hint="eastAsia" w:ascii="仿宋" w:hAnsi="仿宋" w:eastAsia="仿宋" w:cs="仿宋"/>
          <w:spacing w:val="9"/>
          <w:sz w:val="31"/>
          <w:szCs w:val="31"/>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72401F8A">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十八、机构运行经费：</w:t>
      </w:r>
      <w:r>
        <w:rPr>
          <w:rFonts w:hint="eastAsia" w:ascii="仿宋" w:hAnsi="仿宋" w:eastAsia="仿宋" w:cs="仿宋"/>
          <w:spacing w:val="9"/>
          <w:sz w:val="31"/>
          <w:szCs w:val="31"/>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30E4917D">
      <w:pPr>
        <w:widowControl/>
        <w:spacing w:before="240" w:after="240"/>
        <w:jc w:val="left"/>
        <w:rPr>
          <w:rFonts w:ascii="Times New Roman" w:hAnsi="Times New Roman" w:eastAsia="Times New Roman" w:cs="Times New Roman"/>
          <w:kern w:val="0"/>
          <w:sz w:val="24"/>
        </w:rPr>
      </w:pPr>
    </w:p>
    <w:p w14:paraId="1BE064ED">
      <w:pPr>
        <w:pStyle w:val="3"/>
        <w:keepNext w:val="0"/>
        <w:keepLines w:val="0"/>
        <w:widowControl/>
        <w:spacing w:before="299" w:after="299" w:line="240" w:lineRule="auto"/>
        <w:jc w:val="center"/>
        <w:rPr>
          <w:rFonts w:hint="eastAsia" w:ascii="方正仿宋_GB2312" w:hAnsi="方正仿宋_GB2312" w:eastAsia="方正仿宋_GB2312" w:cs="方正仿宋_GB2312"/>
          <w:kern w:val="0"/>
          <w:sz w:val="36"/>
          <w:szCs w:val="36"/>
        </w:rPr>
      </w:pPr>
      <w:r>
        <w:rPr>
          <w:rFonts w:hint="eastAsia" w:ascii="方正仿宋_GB2312" w:hAnsi="方正仿宋_GB2312" w:eastAsia="方正仿宋_GB2312" w:cs="方正仿宋_GB2312"/>
          <w:kern w:val="0"/>
          <w:sz w:val="36"/>
          <w:szCs w:val="36"/>
        </w:rPr>
        <w:t>第四部分 决算公开联系方式及信息反馈渠道</w:t>
      </w:r>
    </w:p>
    <w:p w14:paraId="79A5330F">
      <w:pPr>
        <w:widowControl/>
        <w:spacing w:before="240" w:after="240"/>
        <w:jc w:val="left"/>
        <w:rPr>
          <w:rFonts w:ascii="Times New Roman" w:hAnsi="Times New Roman" w:eastAsia="Times New Roman" w:cs="Times New Roman"/>
          <w:kern w:val="0"/>
          <w:sz w:val="24"/>
        </w:rPr>
      </w:pPr>
    </w:p>
    <w:p w14:paraId="3BF70B4F">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本单位决算公开信息反馈和联系方式：</w:t>
      </w:r>
    </w:p>
    <w:p w14:paraId="01C42EC2">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联系人：</w:t>
      </w:r>
      <w:r>
        <w:rPr>
          <w:rFonts w:hint="eastAsia" w:ascii="仿宋" w:hAnsi="仿宋" w:eastAsia="仿宋" w:cs="仿宋"/>
          <w:spacing w:val="9"/>
          <w:sz w:val="31"/>
          <w:szCs w:val="31"/>
          <w:lang w:val="en-US" w:eastAsia="zh-CN"/>
        </w:rPr>
        <w:t>乌日古木乐</w:t>
      </w:r>
      <w:r>
        <w:rPr>
          <w:rFonts w:hint="eastAsia" w:ascii="仿宋" w:hAnsi="仿宋" w:eastAsia="仿宋" w:cs="仿宋"/>
          <w:spacing w:val="9"/>
          <w:sz w:val="31"/>
          <w:szCs w:val="31"/>
        </w:rPr>
        <w:t>         联系电话：0479-8100359</w:t>
      </w:r>
    </w:p>
    <w:p w14:paraId="59489C58">
      <w:pPr>
        <w:widowControl/>
        <w:spacing w:before="240" w:after="240"/>
        <w:jc w:val="left"/>
        <w:rPr>
          <w:rFonts w:ascii="Times New Roman" w:hAnsi="Times New Roman" w:eastAsia="Times New Roman" w:cs="Times New Roman"/>
          <w:kern w:val="0"/>
          <w:sz w:val="24"/>
        </w:rPr>
      </w:pPr>
    </w:p>
    <w:p w14:paraId="26C773A5">
      <w:pPr>
        <w:widowControl/>
        <w:spacing w:before="240" w:after="240"/>
        <w:jc w:val="center"/>
        <w:rPr>
          <w:rFonts w:hint="eastAsia" w:ascii="方正仿宋_GB2312" w:hAnsi="方正仿宋_GB2312" w:eastAsia="方正仿宋_GB2312" w:cs="方正仿宋_GB2312"/>
          <w:b/>
          <w:bCs/>
          <w:kern w:val="0"/>
          <w:sz w:val="36"/>
          <w:szCs w:val="36"/>
          <w:lang w:val="en-US" w:eastAsia="zh-CN" w:bidi="ar-SA"/>
        </w:rPr>
      </w:pPr>
      <w:r>
        <w:rPr>
          <w:rFonts w:hint="eastAsia" w:ascii="方正仿宋_GB2312" w:hAnsi="方正仿宋_GB2312" w:eastAsia="方正仿宋_GB2312" w:cs="方正仿宋_GB2312"/>
          <w:b/>
          <w:bCs/>
          <w:kern w:val="0"/>
          <w:sz w:val="36"/>
          <w:szCs w:val="36"/>
          <w:lang w:val="en-US" w:eastAsia="zh-CN" w:bidi="ar-SA"/>
        </w:rPr>
        <w:t>第五部分 部门（单位）决算表</w:t>
      </w:r>
    </w:p>
    <w:p w14:paraId="38357575">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见附件。</w:t>
      </w:r>
    </w:p>
    <w:p w14:paraId="37484E08">
      <w:pPr>
        <w:widowControl/>
        <w:spacing w:before="240" w:after="240"/>
        <w:jc w:val="left"/>
        <w:rPr>
          <w:rFonts w:ascii="Times New Roman" w:hAnsi="Times New Roman" w:eastAsia="Times New Roman" w:cs="Times New Roman"/>
          <w:kern w:val="0"/>
          <w:sz w:val="24"/>
        </w:rPr>
      </w:pPr>
    </w:p>
    <w:p w14:paraId="3A7505AC">
      <w:pPr>
        <w:widowControl/>
        <w:spacing w:before="240" w:after="240"/>
        <w:jc w:val="left"/>
        <w:rPr>
          <w:rFonts w:ascii="Times New Roman" w:hAnsi="Times New Roman" w:eastAsia="Times New Roman" w:cs="Times New Roman"/>
          <w:kern w:val="0"/>
          <w:sz w:val="24"/>
        </w:rPr>
      </w:pPr>
    </w:p>
    <w:p w14:paraId="216DDB04">
      <w:pPr>
        <w:widowControl/>
        <w:spacing w:before="240" w:after="240"/>
        <w:jc w:val="left"/>
        <w:rPr>
          <w:rFonts w:ascii="Times New Roman" w:hAnsi="Times New Roman" w:eastAsia="Times New Roman" w:cs="Times New Roman"/>
          <w:kern w:val="0"/>
          <w:sz w:val="24"/>
        </w:rPr>
      </w:pPr>
    </w:p>
    <w:p w14:paraId="2096FD8D">
      <w:pPr>
        <w:widowControl/>
        <w:spacing w:before="240" w:after="240"/>
        <w:jc w:val="left"/>
        <w:rPr>
          <w:rFonts w:ascii="Times New Roman" w:hAnsi="Times New Roman" w:eastAsia="Times New Roman" w:cs="Times New Roman"/>
          <w:kern w:val="0"/>
          <w:sz w:val="24"/>
        </w:rPr>
      </w:pPr>
    </w:p>
    <w:bookmarkEnd w:id="0"/>
    <w:p w14:paraId="64A91BD6">
      <w:pPr>
        <w:adjustRightInd w:val="0"/>
        <w:snapToGrid w:val="0"/>
        <w:rPr>
          <w:rFonts w:ascii="宋体" w:hAnsi="宋体"/>
          <w:b/>
          <w:sz w:val="32"/>
          <w:szCs w:val="32"/>
        </w:rPr>
      </w:pPr>
    </w:p>
    <w:p w14:paraId="16B721BE">
      <w:pPr>
        <w:adjustRightInd w:val="0"/>
        <w:snapToGrid w:val="0"/>
        <w:rPr>
          <w:rFonts w:ascii="宋体" w:hAnsi="宋体"/>
          <w:b/>
          <w:sz w:val="32"/>
          <w:szCs w:val="32"/>
        </w:rPr>
      </w:pPr>
    </w:p>
    <w:p w14:paraId="064DC7E7">
      <w:pPr>
        <w:tabs>
          <w:tab w:val="left" w:pos="8415"/>
        </w:tabs>
      </w:pPr>
    </w:p>
    <w:sectPr>
      <w:footerReference r:id="rId3"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fang_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times_new_roman">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D134">
    <w:pPr>
      <w:pStyle w:val="13"/>
      <w:jc w:val="center"/>
    </w:pPr>
    <w:r>
      <w:fldChar w:fldCharType="begin"/>
    </w:r>
    <w:r>
      <w:instrText xml:space="preserve"> PAGE   \* MERGEFORMAT </w:instrText>
    </w:r>
    <w:r>
      <w:fldChar w:fldCharType="separate"/>
    </w:r>
    <w:r>
      <w:rPr>
        <w:lang w:val="zh-CN"/>
      </w:rPr>
      <w:t>23</w:t>
    </w:r>
    <w:r>
      <w:rPr>
        <w:lang w:val="zh-CN"/>
      </w:rPr>
      <w:fldChar w:fldCharType="end"/>
    </w:r>
  </w:p>
  <w:p w14:paraId="2E0A9122">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72FA6"/>
    <w:multiLevelType w:val="singleLevel"/>
    <w:tmpl w:val="BAF72FA6"/>
    <w:lvl w:ilvl="0" w:tentative="0">
      <w:start w:val="1"/>
      <w:numFmt w:val="decimal"/>
      <w:suff w:val="nothing"/>
      <w:lvlText w:val="%1．"/>
      <w:lvlJc w:val="left"/>
    </w:lvl>
  </w:abstractNum>
  <w:abstractNum w:abstractNumId="1">
    <w:nsid w:val="21879D05"/>
    <w:multiLevelType w:val="singleLevel"/>
    <w:tmpl w:val="21879D05"/>
    <w:lvl w:ilvl="0" w:tentative="0">
      <w:start w:val="1"/>
      <w:numFmt w:val="chineseCounting"/>
      <w:suff w:val="nothing"/>
      <w:lvlText w:val="%1、"/>
      <w:lvlJc w:val="left"/>
      <w:rPr>
        <w:rFonts w:hint="eastAsia"/>
      </w:rPr>
    </w:lvl>
  </w:abstractNum>
  <w:abstractNum w:abstractNumId="2">
    <w:nsid w:val="224D969F"/>
    <w:multiLevelType w:val="singleLevel"/>
    <w:tmpl w:val="224D969F"/>
    <w:lvl w:ilvl="0" w:tentative="0">
      <w:start w:val="5"/>
      <w:numFmt w:val="chineseCounting"/>
      <w:suff w:val="nothing"/>
      <w:lvlText w:val="%1、"/>
      <w:lvlJc w:val="left"/>
      <w:rPr>
        <w:rFonts w:hint="eastAsia"/>
      </w:rPr>
    </w:lvl>
  </w:abstractNum>
  <w:abstractNum w:abstractNumId="3">
    <w:nsid w:val="6260E451"/>
    <w:multiLevelType w:val="singleLevel"/>
    <w:tmpl w:val="6260E451"/>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lMmFmOTVlNmYyODE4ZDA5YmI0NGQ4OWY2ODk4OWU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144BF"/>
    <w:rsid w:val="00954CD9"/>
    <w:rsid w:val="009A5EF3"/>
    <w:rsid w:val="009D6904"/>
    <w:rsid w:val="009E1EE8"/>
    <w:rsid w:val="009E227B"/>
    <w:rsid w:val="009E308A"/>
    <w:rsid w:val="009F0536"/>
    <w:rsid w:val="009F2E6D"/>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1A74741"/>
    <w:rsid w:val="01AF70E0"/>
    <w:rsid w:val="01B85F94"/>
    <w:rsid w:val="02C32E43"/>
    <w:rsid w:val="03681C3C"/>
    <w:rsid w:val="03D82507"/>
    <w:rsid w:val="0592786B"/>
    <w:rsid w:val="05B66C8F"/>
    <w:rsid w:val="08E37340"/>
    <w:rsid w:val="0961183A"/>
    <w:rsid w:val="0A215939"/>
    <w:rsid w:val="11A11E84"/>
    <w:rsid w:val="12595EE7"/>
    <w:rsid w:val="13E8581D"/>
    <w:rsid w:val="15CC605B"/>
    <w:rsid w:val="165C0979"/>
    <w:rsid w:val="178169D1"/>
    <w:rsid w:val="178B40C0"/>
    <w:rsid w:val="19C72DC1"/>
    <w:rsid w:val="1B0700AB"/>
    <w:rsid w:val="1DE303E5"/>
    <w:rsid w:val="1E4B1425"/>
    <w:rsid w:val="20BF0C96"/>
    <w:rsid w:val="21D14E48"/>
    <w:rsid w:val="2201521E"/>
    <w:rsid w:val="24637B8A"/>
    <w:rsid w:val="290731DA"/>
    <w:rsid w:val="2B0A0D5F"/>
    <w:rsid w:val="31733926"/>
    <w:rsid w:val="31DD626C"/>
    <w:rsid w:val="334119DE"/>
    <w:rsid w:val="33613E2E"/>
    <w:rsid w:val="34366C11"/>
    <w:rsid w:val="348A675E"/>
    <w:rsid w:val="3BA448B8"/>
    <w:rsid w:val="3D0C21DF"/>
    <w:rsid w:val="3D266F3A"/>
    <w:rsid w:val="3E447D10"/>
    <w:rsid w:val="41FF5495"/>
    <w:rsid w:val="438374A9"/>
    <w:rsid w:val="43C53F65"/>
    <w:rsid w:val="44896D41"/>
    <w:rsid w:val="45B20519"/>
    <w:rsid w:val="46063740"/>
    <w:rsid w:val="463827CD"/>
    <w:rsid w:val="469D2F78"/>
    <w:rsid w:val="470E0F51"/>
    <w:rsid w:val="48B85E47"/>
    <w:rsid w:val="49402FEF"/>
    <w:rsid w:val="49B44860"/>
    <w:rsid w:val="4C4A6F3D"/>
    <w:rsid w:val="505F4549"/>
    <w:rsid w:val="526B3F2A"/>
    <w:rsid w:val="534053B7"/>
    <w:rsid w:val="572528F9"/>
    <w:rsid w:val="5AB61F96"/>
    <w:rsid w:val="5AC85BDC"/>
    <w:rsid w:val="5BF46D3E"/>
    <w:rsid w:val="5DCC2E35"/>
    <w:rsid w:val="5F335DCF"/>
    <w:rsid w:val="6167218A"/>
    <w:rsid w:val="65A417D5"/>
    <w:rsid w:val="65EF15EA"/>
    <w:rsid w:val="667523D3"/>
    <w:rsid w:val="669A3257"/>
    <w:rsid w:val="68154843"/>
    <w:rsid w:val="68DA4848"/>
    <w:rsid w:val="695D4175"/>
    <w:rsid w:val="69831701"/>
    <w:rsid w:val="6A0E764A"/>
    <w:rsid w:val="6A2B783D"/>
    <w:rsid w:val="6A3D5D54"/>
    <w:rsid w:val="6A4B66C3"/>
    <w:rsid w:val="6A79532B"/>
    <w:rsid w:val="6E301E58"/>
    <w:rsid w:val="6F230606"/>
    <w:rsid w:val="6F856B25"/>
    <w:rsid w:val="70117A67"/>
    <w:rsid w:val="706A7177"/>
    <w:rsid w:val="716D5171"/>
    <w:rsid w:val="717C1858"/>
    <w:rsid w:val="727A5D97"/>
    <w:rsid w:val="73BE751F"/>
    <w:rsid w:val="76A809F9"/>
    <w:rsid w:val="77336515"/>
    <w:rsid w:val="77C138AA"/>
    <w:rsid w:val="799F67F9"/>
    <w:rsid w:val="7A446DF5"/>
    <w:rsid w:val="7D73545B"/>
    <w:rsid w:val="7DF0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paragraph" w:styleId="5">
    <w:name w:val="heading 4"/>
    <w:basedOn w:val="1"/>
    <w:next w:val="1"/>
    <w:link w:val="25"/>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10">
    <w:name w:val="toc 5"/>
    <w:basedOn w:val="1"/>
    <w:next w:val="1"/>
    <w:autoRedefine/>
    <w:qFormat/>
    <w:uiPriority w:val="0"/>
    <w:pPr>
      <w:ind w:left="840"/>
      <w:jc w:val="left"/>
    </w:pPr>
    <w:rPr>
      <w:sz w:val="20"/>
      <w:szCs w:val="20"/>
    </w:rPr>
  </w:style>
  <w:style w:type="paragraph" w:styleId="11">
    <w:name w:val="toc 3"/>
    <w:basedOn w:val="1"/>
    <w:next w:val="1"/>
    <w:qFormat/>
    <w:uiPriority w:val="0"/>
    <w:pPr>
      <w:adjustRightInd w:val="0"/>
      <w:snapToGrid w:val="0"/>
      <w:spacing w:line="360" w:lineRule="auto"/>
      <w:ind w:firstLine="400" w:firstLineChars="400"/>
      <w:jc w:val="left"/>
    </w:pPr>
    <w:rPr>
      <w:sz w:val="24"/>
      <w:szCs w:val="20"/>
    </w:rPr>
  </w:style>
  <w:style w:type="paragraph" w:styleId="12">
    <w:name w:val="toc 8"/>
    <w:basedOn w:val="1"/>
    <w:next w:val="1"/>
    <w:autoRedefine/>
    <w:qFormat/>
    <w:uiPriority w:val="0"/>
    <w:pPr>
      <w:ind w:left="1470"/>
      <w:jc w:val="left"/>
    </w:pPr>
    <w:rPr>
      <w:sz w:val="20"/>
      <w:szCs w:val="20"/>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snapToGrid w:val="0"/>
      <w:spacing w:line="360" w:lineRule="auto"/>
      <w:jc w:val="left"/>
    </w:pPr>
    <w:rPr>
      <w:b/>
      <w:bCs/>
      <w:sz w:val="24"/>
      <w:szCs w:val="20"/>
    </w:rPr>
  </w:style>
  <w:style w:type="paragraph" w:styleId="16">
    <w:name w:val="toc 4"/>
    <w:basedOn w:val="1"/>
    <w:next w:val="1"/>
    <w:autoRedefine/>
    <w:qFormat/>
    <w:uiPriority w:val="0"/>
    <w:pPr>
      <w:ind w:left="630"/>
      <w:jc w:val="left"/>
    </w:pPr>
    <w:rPr>
      <w:sz w:val="20"/>
      <w:szCs w:val="20"/>
    </w:rPr>
  </w:style>
  <w:style w:type="paragraph" w:styleId="17">
    <w:name w:val="toc 6"/>
    <w:basedOn w:val="1"/>
    <w:next w:val="1"/>
    <w:autoRedefine/>
    <w:qFormat/>
    <w:uiPriority w:val="0"/>
    <w:pPr>
      <w:ind w:left="1050"/>
      <w:jc w:val="left"/>
    </w:pPr>
    <w:rPr>
      <w:sz w:val="20"/>
      <w:szCs w:val="20"/>
    </w:rPr>
  </w:style>
  <w:style w:type="paragraph" w:styleId="18">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9">
    <w:name w:val="toc 9"/>
    <w:basedOn w:val="1"/>
    <w:next w:val="1"/>
    <w:autoRedefine/>
    <w:qFormat/>
    <w:uiPriority w:val="0"/>
    <w:pPr>
      <w:ind w:left="1680"/>
      <w:jc w:val="left"/>
    </w:pPr>
    <w:rPr>
      <w:sz w:val="20"/>
      <w:szCs w:val="20"/>
    </w:rPr>
  </w:style>
  <w:style w:type="paragraph" w:styleId="20">
    <w:name w:val="Body Text First Indent 2"/>
    <w:basedOn w:val="9"/>
    <w:qFormat/>
    <w:uiPriority w:val="0"/>
    <w:pPr>
      <w:ind w:firstLine="420"/>
    </w:p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customStyle="1" w:styleId="25">
    <w:name w:val="标题 4 字符"/>
    <w:basedOn w:val="22"/>
    <w:link w:val="5"/>
    <w:qFormat/>
    <w:uiPriority w:val="0"/>
    <w:rPr>
      <w:rFonts w:ascii="Cambria" w:hAnsi="Cambria"/>
      <w:b/>
      <w:bCs/>
      <w:kern w:val="2"/>
      <w:sz w:val="28"/>
      <w:szCs w:val="28"/>
    </w:rPr>
  </w:style>
  <w:style w:type="paragraph" w:styleId="26">
    <w:name w:val="No Spacing"/>
    <w:link w:val="27"/>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7">
    <w:name w:val="无间隔 字符"/>
    <w:link w:val="26"/>
    <w:qFormat/>
    <w:locked/>
    <w:uiPriority w:val="0"/>
    <w:rPr>
      <w:rFonts w:eastAsia="仿宋_GB2312"/>
      <w:sz w:val="30"/>
      <w:szCs w:val="22"/>
      <w:lang w:bidi="ar-SA"/>
    </w:rPr>
  </w:style>
  <w:style w:type="character" w:customStyle="1" w:styleId="28">
    <w:name w:val="页脚 字符"/>
    <w:basedOn w:val="22"/>
    <w:link w:val="13"/>
    <w:qFormat/>
    <w:uiPriority w:val="0"/>
    <w:rPr>
      <w:kern w:val="2"/>
      <w:sz w:val="18"/>
      <w:szCs w:val="18"/>
    </w:rPr>
  </w:style>
  <w:style w:type="paragraph" w:styleId="29">
    <w:name w:val="List Paragraph"/>
    <w:basedOn w:val="1"/>
    <w:qFormat/>
    <w:uiPriority w:val="0"/>
    <w:pPr>
      <w:ind w:firstLine="420" w:firstLineChars="200"/>
    </w:pPr>
  </w:style>
  <w:style w:type="character" w:customStyle="1" w:styleId="30">
    <w:name w:val="标题 3 字符"/>
    <w:basedOn w:val="22"/>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G:\2024&#24180;6&#26376;4&#26085;---\2023&#24180;&#20915;&#31639;&#20844;&#24320;\2023&#24180;&#20915;&#31639;&#20844;&#24320;\&#37096;&#38376;\&#25910;&#20837;&#25903;&#20986;&#20915;&#31639;&#24635;&#34920;.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G:\2024&#24180;6&#26376;4&#26085;---\2023&#24180;&#20915;&#31639;&#20844;&#24320;\2023&#24180;&#20915;&#31639;&#20844;&#24320;\&#37096;&#38376;\&#25910;&#20837;&#25903;&#20986;&#20915;&#31639;&#24635;&#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t>.收入决算图</a:t>
            </a:r>
          </a:p>
        </c:rich>
      </c:tx>
      <c:layout/>
      <c:overlay val="0"/>
      <c:spPr>
        <a:noFill/>
        <a:ln>
          <a:noFill/>
        </a:ln>
        <a:effectLst/>
      </c:spPr>
    </c:title>
    <c:autoTitleDeleted val="0"/>
    <c:plotArea>
      <c:layout/>
      <c:pieChart>
        <c:varyColors val="1"/>
        <c:ser>
          <c:idx val="0"/>
          <c:order val="0"/>
          <c:spPr/>
          <c:explosion val="0"/>
          <c:dPt>
            <c:idx val="0"/>
            <c:bubble3D val="0"/>
            <c:spPr>
              <a:gradFill>
                <a:gsLst>
                  <a:gs pos="70000">
                    <a:schemeClr val="accent1"/>
                  </a:gs>
                  <a:gs pos="0">
                    <a:schemeClr val="accent1">
                      <a:lumMod val="60000"/>
                      <a:lumOff val="40000"/>
                    </a:schemeClr>
                  </a:gs>
                </a:gsLst>
                <a:lin ang="5400000"/>
              </a:gradFill>
              <a:ln w="19050">
                <a:solidFill>
                  <a:schemeClr val="lt1"/>
                </a:solidFill>
              </a:ln>
              <a:effectLst>
                <a:outerShdw blurRad="63500" sx="102000" sy="102000" algn="ctr" rotWithShape="0">
                  <a:prstClr val="black">
                    <a:alpha val="25000"/>
                  </a:prstClr>
                </a:outerShdw>
              </a:effectLst>
            </c:spPr>
          </c:dPt>
          <c:dPt>
            <c:idx val="1"/>
            <c:bubble3D val="0"/>
            <c:spPr>
              <a:gradFill>
                <a:gsLst>
                  <a:gs pos="70000">
                    <a:schemeClr val="accent2"/>
                  </a:gs>
                  <a:gs pos="0">
                    <a:schemeClr val="accent2">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Pt>
            <c:idx val="2"/>
            <c:bubble3D val="0"/>
            <c:spPr>
              <a:gradFill>
                <a:gsLst>
                  <a:gs pos="70000">
                    <a:schemeClr val="accent3"/>
                  </a:gs>
                  <a:gs pos="0">
                    <a:schemeClr val="accent3">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Pt>
            <c:idx val="3"/>
            <c:bubble3D val="0"/>
            <c:spPr>
              <a:gradFill>
                <a:gsLst>
                  <a:gs pos="70000">
                    <a:schemeClr val="accent4"/>
                  </a:gs>
                  <a:gs pos="0">
                    <a:schemeClr val="accent4">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Pt>
            <c:idx val="4"/>
            <c:bubble3D val="0"/>
            <c:spPr>
              <a:gradFill>
                <a:gsLst>
                  <a:gs pos="70000">
                    <a:schemeClr val="accent5"/>
                  </a:gs>
                  <a:gs pos="0">
                    <a:schemeClr val="accent5">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Pt>
            <c:idx val="5"/>
            <c:bubble3D val="0"/>
            <c:spPr>
              <a:gradFill>
                <a:gsLst>
                  <a:gs pos="70000">
                    <a:schemeClr val="accent6"/>
                  </a:gs>
                  <a:gs pos="0">
                    <a:schemeClr val="accent6">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100" b="0" i="0" u="none" strike="noStrike" kern="1200" baseline="0">
                      <a:solidFill>
                        <a:schemeClr val="bg1"/>
                      </a:solidFill>
                      <a:latin typeface="+mn-lt"/>
                      <a:ea typeface="+mn-ea"/>
                      <a:cs typeface="+mn-cs"/>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100" b="0" i="0" u="none" strike="noStrike" kern="1200" baseline="0">
                      <a:solidFill>
                        <a:schemeClr val="bg1"/>
                      </a:solidFill>
                      <a:latin typeface="+mn-lt"/>
                      <a:ea typeface="+mn-ea"/>
                      <a:cs typeface="+mn-cs"/>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100" b="0" i="0" u="none" strike="noStrike" kern="1200" baseline="0">
                      <a:solidFill>
                        <a:schemeClr val="bg1"/>
                      </a:solidFill>
                      <a:latin typeface="+mn-lt"/>
                      <a:ea typeface="+mn-ea"/>
                      <a:cs typeface="+mn-cs"/>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100" b="0" i="0" u="none" strike="noStrike" kern="1200" baseline="0">
                      <a:solidFill>
                        <a:schemeClr val="bg1"/>
                      </a:solidFill>
                      <a:latin typeface="+mn-lt"/>
                      <a:ea typeface="+mn-ea"/>
                      <a:cs typeface="+mn-cs"/>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4"/>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100" b="0" i="0" u="none" strike="noStrike" kern="1200" baseline="0">
                      <a:solidFill>
                        <a:schemeClr val="bg1"/>
                      </a:solidFill>
                      <a:latin typeface="+mn-lt"/>
                      <a:ea typeface="+mn-ea"/>
                      <a:cs typeface="+mn-cs"/>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5"/>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100" b="0" i="0" u="none" strike="noStrike" kern="1200" baseline="0">
                      <a:solidFill>
                        <a:schemeClr val="bg1"/>
                      </a:solidFill>
                      <a:latin typeface="+mn-lt"/>
                      <a:ea typeface="+mn-ea"/>
                      <a:cs typeface="+mn-cs"/>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6"/>
              <c:layout/>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7"/>
              <c:layout/>
              <c:dLblPos val="inEnd"/>
              <c:showLegendKey val="0"/>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100" b="0" i="0" u="none" strike="noStrike" kern="1200" baseline="0">
                    <a:solidFill>
                      <a:schemeClr val="bg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[收入支出决算总表.xlsx]Sheet2!$A$1:$A$8</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[收入支出决算总表.xlsx]Sheet2!$B$1:$B$8</c:f>
              <c:numCache>
                <c:formatCode>#,##0.00</c:formatCode>
                <c:ptCount val="8"/>
                <c:pt idx="0">
                  <c:v>1564.15</c:v>
                </c:pt>
                <c:pt idx="1" c:formatCode="General">
                  <c:v>0</c:v>
                </c:pt>
                <c:pt idx="2" c:formatCode="General">
                  <c:v>0</c:v>
                </c:pt>
                <c:pt idx="3" c:formatCode="General">
                  <c:v>0</c:v>
                </c:pt>
                <c:pt idx="4" c:formatCode="General">
                  <c:v>0</c:v>
                </c:pt>
                <c:pt idx="5" c:formatCode="General">
                  <c:v>0</c:v>
                </c:pt>
                <c:pt idx="6">
                  <c:v>0</c:v>
                </c:pt>
                <c:pt idx="7" c:formatCode="General">
                  <c:v>0.01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b242d97-143e-4619-ab46-51a2ab96b582}"/>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sz="11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支出决算图</a:t>
            </a:r>
          </a:p>
        </c:rich>
      </c:tx>
      <c:layout/>
      <c:overlay val="0"/>
      <c:spPr>
        <a:noFill/>
        <a:ln>
          <a:noFill/>
        </a:ln>
        <a:effectLst/>
      </c:spPr>
    </c:title>
    <c:autoTitleDeleted val="0"/>
    <c:plotArea>
      <c:layout/>
      <c:pieChart>
        <c:varyColors val="1"/>
        <c:ser>
          <c:idx val="0"/>
          <c:order val="0"/>
          <c:spPr>
            <a:ln w="15875">
              <a:solidFill>
                <a:schemeClr val="bg1"/>
              </a:solidFill>
            </a:ln>
            <a:effectLst>
              <a:outerShdw blurRad="50800" dist="38100" dir="2700000" algn="tl" rotWithShape="0">
                <a:prstClr val="black">
                  <a:alpha val="40000"/>
                </a:prstClr>
              </a:outerShdw>
            </a:effectLst>
            <a:sp3d contourW="15875"/>
          </c:spPr>
          <c:explosion val="0"/>
          <c:dPt>
            <c:idx val="0"/>
            <c:bubble3D val="0"/>
            <c:spPr>
              <a:gradFill>
                <a:gsLst>
                  <a:gs pos="0">
                    <a:schemeClr val="accent1">
                      <a:lumMod val="60000"/>
                      <a:lumOff val="40000"/>
                    </a:schemeClr>
                  </a:gs>
                  <a:gs pos="70000">
                    <a:schemeClr val="accent1"/>
                  </a:gs>
                </a:gsLst>
                <a:lin ang="5400000" scaled="0"/>
              </a:gradFill>
              <a:ln w="15875">
                <a:solidFill>
                  <a:schemeClr val="bg1"/>
                </a:solidFill>
              </a:ln>
              <a:effectLst>
                <a:outerShdw blurRad="50800" dist="38100" dir="2700000" algn="tl" rotWithShape="0">
                  <a:schemeClr val="accent1">
                    <a:lumMod val="50000"/>
                    <a:alpha val="40000"/>
                  </a:schemeClr>
                </a:outerShdw>
              </a:effectLst>
              <a:sp3d contourW="15875"/>
            </c:spPr>
          </c:dPt>
          <c:dPt>
            <c:idx val="1"/>
            <c:bubble3D val="0"/>
            <c:spPr>
              <a:gradFill>
                <a:gsLst>
                  <a:gs pos="0">
                    <a:schemeClr val="accent2">
                      <a:lumMod val="60000"/>
                      <a:lumOff val="40000"/>
                    </a:schemeClr>
                  </a:gs>
                  <a:gs pos="70000">
                    <a:schemeClr val="accent2"/>
                  </a:gs>
                </a:gsLst>
                <a:lin ang="5400000" scaled="0"/>
              </a:gradFill>
              <a:ln w="15875">
                <a:solidFill>
                  <a:schemeClr val="bg1"/>
                </a:solidFill>
              </a:ln>
              <a:effectLst>
                <a:outerShdw blurRad="50800" dist="38100" dir="2700000" algn="tl" rotWithShape="0">
                  <a:schemeClr val="accent2">
                    <a:lumMod val="50000"/>
                    <a:alpha val="40000"/>
                  </a:schemeClr>
                </a:outerShdw>
              </a:effectLst>
              <a:sp3d contourW="15875"/>
            </c:spPr>
          </c:dPt>
          <c:dPt>
            <c:idx val="2"/>
            <c:bubble3D val="0"/>
            <c:spPr>
              <a:pattFill prst="dkUpDiag">
                <a:fgClr>
                  <a:schemeClr val="accent3"/>
                </a:fgClr>
                <a:bgClr>
                  <a:schemeClr val="accent3">
                    <a:lumMod val="60000"/>
                    <a:lumOff val="40000"/>
                  </a:schemeClr>
                </a:bgClr>
              </a:pattFill>
              <a:ln w="19050">
                <a:solidFill>
                  <a:schemeClr val="bg1"/>
                </a:solidFill>
              </a:ln>
              <a:effectLst>
                <a:outerShdw blurRad="50800" dist="38100" dir="2700000" algn="tl" rotWithShape="0">
                  <a:schemeClr val="accent3">
                    <a:lumMod val="50000"/>
                    <a:alpha val="40000"/>
                  </a:schemeClr>
                </a:outerShdw>
              </a:effectLst>
              <a:sp3d contourW="19050"/>
            </c:spPr>
          </c:dPt>
          <c:dPt>
            <c:idx val="3"/>
            <c:bubble3D val="0"/>
            <c:spPr>
              <a:gradFill>
                <a:gsLst>
                  <a:gs pos="0">
                    <a:schemeClr val="accent4">
                      <a:lumMod val="60000"/>
                      <a:lumOff val="40000"/>
                    </a:schemeClr>
                  </a:gs>
                  <a:gs pos="70000">
                    <a:schemeClr val="accent4"/>
                  </a:gs>
                </a:gsLst>
                <a:lin ang="5400000" scaled="0"/>
              </a:gradFill>
              <a:ln w="15875">
                <a:solidFill>
                  <a:schemeClr val="bg1"/>
                </a:solidFill>
              </a:ln>
              <a:effectLst>
                <a:outerShdw blurRad="50800" dist="38100" dir="2700000" algn="tl" rotWithShape="0">
                  <a:schemeClr val="accent4">
                    <a:lumMod val="50000"/>
                    <a:alpha val="40000"/>
                  </a:schemeClr>
                </a:outerShdw>
              </a:effectLst>
              <a:sp3d contourW="15875"/>
            </c:spPr>
          </c:dPt>
          <c:dPt>
            <c:idx val="4"/>
            <c:bubble3D val="0"/>
            <c:spPr>
              <a:solidFill>
                <a:schemeClr val="accent5"/>
              </a:solidFill>
              <a:ln w="15875">
                <a:solidFill>
                  <a:schemeClr val="bg1"/>
                </a:solidFill>
              </a:ln>
              <a:effectLst>
                <a:outerShdw blurRad="50800" dist="38100" dir="2700000" algn="tl" rotWithShape="0">
                  <a:prstClr val="black">
                    <a:alpha val="40000"/>
                  </a:prstClr>
                </a:outerShdw>
              </a:effectLst>
              <a:sp3d contourW="15875"/>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effectLst/>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effectLst/>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effectLst/>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[收入支出决算总表.xlsx]Sheet1!$A$2:$A$6</c:f>
              <c:strCache>
                <c:ptCount val="5"/>
                <c:pt idx="0">
                  <c:v>基本支出</c:v>
                </c:pt>
                <c:pt idx="1">
                  <c:v>项目支出</c:v>
                </c:pt>
                <c:pt idx="2">
                  <c:v>上缴上级支出</c:v>
                </c:pt>
                <c:pt idx="3">
                  <c:v>经营支出</c:v>
                </c:pt>
                <c:pt idx="4">
                  <c:v>对附属单位补助支出</c:v>
                </c:pt>
              </c:strCache>
            </c:strRef>
          </c:cat>
          <c:val>
            <c:numRef>
              <c:f>[收入支出决算总表.xlsx]Sheet1!$B$2:$B$6</c:f>
              <c:numCache>
                <c:formatCode>#,##0.00</c:formatCode>
                <c:ptCount val="5"/>
                <c:pt idx="0">
                  <c:v>1038.59</c:v>
                </c:pt>
                <c:pt idx="1" c:formatCode="General">
                  <c:v>523.82</c:v>
                </c:pt>
                <c:pt idx="2" c:formatCode="General">
                  <c:v>0</c:v>
                </c:pt>
                <c:pt idx="3" c:formatCode="General">
                  <c:v>0</c:v>
                </c:pt>
                <c:pt idx="4" c:formatCode="General">
                  <c:v>0</c:v>
                </c:pt>
              </c:numCache>
            </c:numRef>
          </c:val>
        </c:ser>
        <c:dLbls>
          <c:showLegendKey val="0"/>
          <c:showVal val="1"/>
          <c:showCatName val="0"/>
          <c:showSerName val="0"/>
          <c:showPercent val="0"/>
          <c:showBubbleSize val="0"/>
          <c:showLeaderLines val="1"/>
        </c:dLbls>
        <c:firstSliceAng val="15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extLst>
      <c:ext uri="{0b15fc19-7d7d-44ad-8c2d-2c3a37ce22c3}">
        <chartProps xmlns="https://web.wps.cn/et/2018/main" chartId="{7331b7f4-481c-414c-b4de-1660d5217844}"/>
      </c:ext>
    </c:extLst>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16.1">
    <a:dk1>
      <a:srgbClr val="000000"/>
    </a:dk1>
    <a:lt1>
      <a:srgbClr val="FFFFFF"/>
    </a:lt1>
    <a:dk2>
      <a:srgbClr val="0F1423"/>
    </a:dk2>
    <a:lt2>
      <a:srgbClr val="FFFFFF"/>
    </a:lt2>
    <a:accent1>
      <a:srgbClr val="7262FD"/>
    </a:accent1>
    <a:accent2>
      <a:srgbClr val="FF6637"/>
    </a:accent2>
    <a:accent3>
      <a:srgbClr val="FF860F"/>
    </a:accent3>
    <a:accent4>
      <a:srgbClr val="FFB607"/>
    </a:accent4>
    <a:accent5>
      <a:srgbClr val="45CBF1"/>
    </a:accent5>
    <a:accent6>
      <a:srgbClr val="41DDAC"/>
    </a:accent6>
    <a:hlink>
      <a:srgbClr val="0563C1"/>
    </a:hlink>
    <a:folHlink>
      <a:srgbClr val="954D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自定义 201">
    <a:dk1>
      <a:srgbClr val="000000"/>
    </a:dk1>
    <a:lt1>
      <a:srgbClr val="FFFFFF"/>
    </a:lt1>
    <a:dk2>
      <a:srgbClr val="0C0E1F"/>
    </a:dk2>
    <a:lt2>
      <a:srgbClr val="FEFFFF"/>
    </a:lt2>
    <a:accent1>
      <a:srgbClr val="646BFE"/>
    </a:accent1>
    <a:accent2>
      <a:srgbClr val="F64699"/>
    </a:accent2>
    <a:accent3>
      <a:srgbClr val="FFC619"/>
    </a:accent3>
    <a:accent4>
      <a:srgbClr val="16CC8A"/>
    </a:accent4>
    <a:accent5>
      <a:srgbClr val="3CAAF7"/>
    </a:accent5>
    <a:accent6>
      <a:srgbClr val="83D8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微软中国</Company>
  <Pages>40</Pages>
  <Words>16143</Words>
  <Characters>17707</Characters>
  <Lines>1</Lines>
  <Paragraphs>1</Paragraphs>
  <TotalTime>29</TotalTime>
  <ScaleCrop>false</ScaleCrop>
  <LinksUpToDate>false</LinksUpToDate>
  <CharactersWithSpaces>17771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蛋蛋</cp:lastModifiedBy>
  <cp:lastPrinted>2021-04-16T00:45:00Z</cp:lastPrinted>
  <dcterms:modified xsi:type="dcterms:W3CDTF">2025-01-08T03:51:12Z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D74EBFEE2D164B8497211F28BFCDEEDB_12</vt:lpwstr>
  </property>
  <property fmtid="{D5CDD505-2E9C-101B-9397-08002B2CF9AE}" pid="4" name="KSOTemplateDocerSaveRecord">
    <vt:lpwstr>eyJoZGlkIjoiOTg3NWM4ODY5ZTQ2ZGE4NzM3NmE3NjQ2OTc4ZWFkOTkiLCJ1c2VySWQiOiI1MzYyMjQ4NjgifQ==</vt:lpwstr>
  </property>
</Properties>
</file>