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F740B">
      <w:pPr>
        <w:pageBreakBefore w:val="0"/>
        <w:kinsoku/>
        <w:wordWrap/>
        <w:overflowPunct/>
        <w:topLinePunct w:val="0"/>
        <w:bidi w:val="0"/>
        <w:spacing w:line="600" w:lineRule="exact"/>
        <w:jc w:val="center"/>
        <w:rPr>
          <w:rFonts w:eastAsia="黑体" w:cs="宋体"/>
          <w:b/>
          <w:sz w:val="52"/>
          <w:szCs w:val="52"/>
        </w:rPr>
      </w:pPr>
    </w:p>
    <w:p w14:paraId="1F7BBC7F">
      <w:pPr>
        <w:pageBreakBefore w:val="0"/>
        <w:kinsoku/>
        <w:wordWrap/>
        <w:overflowPunct/>
        <w:topLinePunct w:val="0"/>
        <w:bidi w:val="0"/>
        <w:spacing w:line="600" w:lineRule="exact"/>
        <w:jc w:val="center"/>
        <w:rPr>
          <w:rFonts w:eastAsia="黑体" w:cs="宋体"/>
          <w:b/>
          <w:sz w:val="52"/>
          <w:szCs w:val="52"/>
        </w:rPr>
      </w:pPr>
    </w:p>
    <w:p w14:paraId="4DE07F86">
      <w:pPr>
        <w:pageBreakBefore w:val="0"/>
        <w:kinsoku/>
        <w:wordWrap/>
        <w:overflowPunct/>
        <w:topLinePunct w:val="0"/>
        <w:bidi w:val="0"/>
        <w:spacing w:line="600" w:lineRule="exact"/>
        <w:jc w:val="left"/>
        <w:rPr>
          <w:rFonts w:ascii="黑体" w:hAnsi="黑体" w:eastAsia="黑体" w:cs="黑体"/>
          <w:b/>
          <w:bCs/>
          <w:sz w:val="32"/>
          <w:szCs w:val="32"/>
        </w:rPr>
      </w:pPr>
    </w:p>
    <w:p w14:paraId="5E5128C4">
      <w:pPr>
        <w:pageBreakBefore w:val="0"/>
        <w:kinsoku/>
        <w:wordWrap/>
        <w:overflowPunct/>
        <w:topLinePunct w:val="0"/>
        <w:bidi w:val="0"/>
        <w:spacing w:line="600" w:lineRule="exact"/>
        <w:jc w:val="left"/>
        <w:rPr>
          <w:rFonts w:ascii="Arial" w:hAnsi="Arial" w:eastAsia="Symbol"/>
          <w:b/>
          <w:bCs/>
          <w:sz w:val="32"/>
          <w:szCs w:val="32"/>
        </w:rPr>
      </w:pPr>
    </w:p>
    <w:p w14:paraId="48F08D34">
      <w:pPr>
        <w:pageBreakBefore w:val="0"/>
        <w:kinsoku/>
        <w:wordWrap/>
        <w:overflowPunct/>
        <w:topLinePunct w:val="0"/>
        <w:bidi w:val="0"/>
        <w:spacing w:line="600" w:lineRule="exact"/>
        <w:jc w:val="center"/>
        <w:rPr>
          <w:rFonts w:ascii="Arial" w:hAnsi="Arial" w:eastAsia="宋体"/>
          <w:b/>
          <w:bCs/>
          <w:sz w:val="32"/>
          <w:szCs w:val="32"/>
        </w:rPr>
      </w:pPr>
    </w:p>
    <w:p w14:paraId="15445B3D">
      <w:pPr>
        <w:pageBreakBefore w:val="0"/>
        <w:kinsoku/>
        <w:wordWrap/>
        <w:overflowPunct/>
        <w:topLinePunct w:val="0"/>
        <w:bidi w:val="0"/>
        <w:spacing w:line="600" w:lineRule="exact"/>
        <w:jc w:val="center"/>
        <w:rPr>
          <w:rFonts w:ascii="Arial" w:hAnsi="Arial" w:eastAsia="宋体"/>
          <w:b/>
          <w:bCs/>
          <w:sz w:val="32"/>
          <w:szCs w:val="32"/>
        </w:rPr>
      </w:pPr>
    </w:p>
    <w:p w14:paraId="50B62C3C">
      <w:pPr>
        <w:pageBreakBefore w:val="0"/>
        <w:kinsoku/>
        <w:wordWrap/>
        <w:overflowPunct/>
        <w:topLinePunct w:val="0"/>
        <w:bidi w:val="0"/>
        <w:spacing w:line="600" w:lineRule="exact"/>
        <w:jc w:val="center"/>
        <w:rPr>
          <w:rFonts w:ascii="Arial" w:hAnsi="Arial" w:eastAsia="宋体"/>
          <w:b/>
          <w:bCs/>
          <w:sz w:val="32"/>
          <w:szCs w:val="32"/>
        </w:rPr>
      </w:pPr>
    </w:p>
    <w:p w14:paraId="1B590CE1">
      <w:pPr>
        <w:pageBreakBefore w:val="0"/>
        <w:kinsoku/>
        <w:wordWrap/>
        <w:overflowPunct/>
        <w:topLinePunct w:val="0"/>
        <w:bidi w:val="0"/>
        <w:spacing w:line="600" w:lineRule="exact"/>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lang w:val="en-US" w:eastAsia="zh-CN"/>
        </w:rPr>
        <w:t>2025</w:t>
      </w:r>
      <w:r>
        <w:rPr>
          <w:rFonts w:hint="eastAsia" w:ascii="微软雅黑" w:hAnsi="微软雅黑" w:eastAsia="微软雅黑" w:cs="微软雅黑"/>
          <w:b w:val="0"/>
          <w:bCs w:val="0"/>
          <w:sz w:val="44"/>
          <w:szCs w:val="44"/>
        </w:rPr>
        <w:t>年度</w:t>
      </w:r>
      <w:r>
        <w:rPr>
          <w:rFonts w:hint="eastAsia" w:ascii="微软雅黑" w:hAnsi="微软雅黑" w:eastAsia="微软雅黑" w:cs="微软雅黑"/>
          <w:b w:val="0"/>
          <w:bCs w:val="0"/>
          <w:sz w:val="44"/>
          <w:szCs w:val="44"/>
          <w:lang w:eastAsia="zh-CN"/>
        </w:rPr>
        <w:t>锡林郭勒盟能源局</w:t>
      </w:r>
      <w:r>
        <w:rPr>
          <w:rFonts w:hint="eastAsia" w:ascii="微软雅黑" w:hAnsi="微软雅黑" w:eastAsia="微软雅黑" w:cs="微软雅黑"/>
          <w:b w:val="0"/>
          <w:bCs w:val="0"/>
          <w:sz w:val="44"/>
          <w:szCs w:val="44"/>
        </w:rPr>
        <w:t>部门预算公开</w:t>
      </w:r>
    </w:p>
    <w:p w14:paraId="57BF104F">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48D2B89">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076E4D6C">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6E88198A">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5B8CA2D">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49338C8B">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34CD4D6">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6FD1D950">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0CC82D3E">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9FA7E56">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14:paraId="32A1A28B">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28</w:t>
      </w:r>
      <w:r>
        <w:rPr>
          <w:rFonts w:hint="eastAsia" w:ascii="黑体" w:hAnsi="黑体" w:eastAsia="黑体" w:cs="黑体"/>
          <w:sz w:val="32"/>
          <w:szCs w:val="32"/>
          <w:u w:val="single"/>
        </w:rPr>
        <w:t xml:space="preserve">  日</w:t>
      </w:r>
    </w:p>
    <w:p w14:paraId="39CF05D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sz w:val="32"/>
          <w:szCs w:val="32"/>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14</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ascii="黑体" w:hAnsi="黑体" w:eastAsia="黑体" w:cs="黑体"/>
          <w:sz w:val="32"/>
          <w:szCs w:val="32"/>
          <w:u w:val="single"/>
        </w:rPr>
        <w:t>日</w:t>
      </w:r>
    </w:p>
    <w:p w14:paraId="34F6A303">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1E36BA90">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A6A0891">
      <w:pPr>
        <w:pStyle w:val="4"/>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14:paraId="23E1A0ED"/>
    <w:p w14:paraId="70B4934C">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部门概况</w:t>
      </w:r>
    </w:p>
    <w:p w14:paraId="1B1F239F">
      <w:pPr>
        <w:pStyle w:val="2"/>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14:paraId="53683E6E">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二、部门机构设置及预算单位构成情况</w:t>
      </w:r>
    </w:p>
    <w:p w14:paraId="501A4AFE">
      <w:pPr>
        <w:pStyle w:val="2"/>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年度部门主要工作任务及目标</w:t>
      </w:r>
    </w:p>
    <w:p w14:paraId="1D6336BB">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年度部门预算情况说明</w:t>
      </w:r>
    </w:p>
    <w:p w14:paraId="01A14BF5">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14:paraId="20EE0D40">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14:paraId="134066D4">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14:paraId="57C6C10A">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14:paraId="442D26CC">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14:paraId="632D5A8D">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14:paraId="46496493">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14:paraId="54E66CE9">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14:paraId="28EEE04A">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14:paraId="05E54847">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14:paraId="38B67556">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14:paraId="285D067F">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14:paraId="7A0DF3A2">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14:paraId="693ED908">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14:paraId="405185FE">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14:paraId="4B913297">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14:paraId="3E107720">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第五部分</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年度部门预算表</w:t>
      </w:r>
    </w:p>
    <w:p w14:paraId="64EBCE33">
      <w:pPr>
        <w:pStyle w:val="2"/>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14:paraId="1F60F246">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14:paraId="67D84A15">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14:paraId="4DCDD9DC">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14:paraId="5119DBA4">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14:paraId="53DE7C0D">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14:paraId="4A95E52F">
      <w:pPr>
        <w:pStyle w:val="2"/>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14:paraId="5B5A1665">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14:paraId="00A3C78C">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14:paraId="47C7E55E">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14:paraId="7CD3A5FA">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14:paraId="0DBBDF50">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14:paraId="08BF490B">
      <w:pPr>
        <w:pStyle w:val="19"/>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14:paraId="5251F43F">
      <w:pPr>
        <w:pStyle w:val="6"/>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第一部分  部门（单位）概况</w:t>
      </w:r>
    </w:p>
    <w:p w14:paraId="1BD2E0CF">
      <w:pPr>
        <w:pageBreakBefore w:val="0"/>
        <w:kinsoku/>
        <w:wordWrap/>
        <w:overflowPunct/>
        <w:topLinePunct w:val="0"/>
        <w:bidi w:val="0"/>
        <w:spacing w:line="600" w:lineRule="exact"/>
        <w:rPr>
          <w:rFonts w:hint="eastAsia" w:ascii="微软雅黑" w:hAnsi="微软雅黑" w:eastAsia="微软雅黑" w:cs="微软雅黑"/>
          <w:sz w:val="36"/>
          <w:szCs w:val="36"/>
        </w:rPr>
      </w:pPr>
    </w:p>
    <w:p w14:paraId="6881D358">
      <w:pPr>
        <w:keepNext w:val="0"/>
        <w:keepLines w:val="0"/>
        <w:pageBreakBefore w:val="0"/>
        <w:numPr>
          <w:ilvl w:val="0"/>
          <w:numId w:val="2"/>
        </w:numPr>
        <w:kinsoku/>
        <w:wordWrap/>
        <w:overflowPunct/>
        <w:topLinePunct w:val="0"/>
        <w:bidi w:val="0"/>
        <w:adjustRightInd/>
        <w:spacing w:line="360" w:lineRule="auto"/>
        <w:ind w:left="0" w:lef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主要职能职责</w:t>
      </w:r>
    </w:p>
    <w:p w14:paraId="4E7A4EDC">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eastAsia="仿宋_GB2312" w:cs="Times New Roman"/>
          <w:sz w:val="32"/>
          <w:szCs w:val="32"/>
          <w:lang w:eastAsia="zh-CN"/>
        </w:rPr>
        <w:t>单位</w:t>
      </w:r>
      <w:r>
        <w:rPr>
          <w:rFonts w:hint="eastAsia" w:ascii="Times New Roman" w:hAnsi="Times New Roman" w:eastAsia="仿宋_GB2312" w:cs="Times New Roman"/>
          <w:sz w:val="32"/>
          <w:szCs w:val="32"/>
        </w:rPr>
        <w:t>职能</w:t>
      </w:r>
    </w:p>
    <w:p w14:paraId="19A7EF6A">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锡林郭勒盟能源局是盟行署工作部门,为正处级。贯彻落实党中央关于能源工作的方针政策,落实自治区党委、盟委相关决策部署,在履行职责过程中坚持和加强党对能源工作的集中统一领导。</w:t>
      </w:r>
    </w:p>
    <w:p w14:paraId="07AE8B33">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eastAsia="仿宋_GB2312" w:cs="Times New Roman"/>
          <w:sz w:val="32"/>
          <w:szCs w:val="32"/>
          <w:lang w:eastAsia="zh-CN"/>
        </w:rPr>
        <w:t>单位</w:t>
      </w:r>
      <w:r>
        <w:rPr>
          <w:rFonts w:hint="eastAsia" w:ascii="Times New Roman" w:hAnsi="Times New Roman" w:eastAsia="仿宋_GB2312" w:cs="Times New Roman"/>
          <w:sz w:val="32"/>
          <w:szCs w:val="32"/>
        </w:rPr>
        <w:t>主要职责</w:t>
      </w:r>
    </w:p>
    <w:p w14:paraId="7E8A5B4E">
      <w:pPr>
        <w:pStyle w:val="1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贯彻落实国家、自治区有关能源方面的法律法规政策。提出现代能源经济发展政策建议，拟订并组织实施能源发展规划和计划。推进能源体制改革，组织拟订有关改革方案，协调能源发展和改革中的重大问题。负责开展全盟能源对外合作和开发利用工作。</w:t>
      </w:r>
    </w:p>
    <w:p w14:paraId="0A132F5E">
      <w:pPr>
        <w:pStyle w:val="1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2.负责全盟能源生产、运行和管理，规范维护能源市场秩序。参与制定与能源相关的资源、环保等政策，提出能源价格调整等建议。</w:t>
      </w:r>
    </w:p>
    <w:p w14:paraId="0619B5AE">
      <w:pPr>
        <w:pStyle w:val="1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按照管行业必须管安全、管业务必须管安全、管生产经营必须管安全的要求，履行安全生产责任制规定的职责。（根据中共锡林郭勒盟委员会机构编制委员会关于调整盟能源局职责编制的通知（锡机编委发〔2024〕72号）文件，将盟能源局承担的煤矿安全监管等相关职责划入盟应急管理局。职责划转后，盟能源局全面履行“三管三必须”职责，从行业规划、政策法规、行政许可等方面加强煤矿安全生产工作，推动落实煤矿行业的相关规范和标准，形成齐抓共管、优势互补的煤矿安全监管新格局。）</w:t>
      </w:r>
    </w:p>
    <w:p w14:paraId="25E3487A">
      <w:pPr>
        <w:pStyle w:val="1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4.承担全盟能源和煤制燃料行业管理工作，拟订产业政策。按规定权限审批、核准、备案、审核转报全盟能源固定资产投资项目。指导协调农村牧区能源发展工作。统筹全盟煤矿火区、采空区、沉陷区等灾害综合治理工作。 </w:t>
      </w:r>
    </w:p>
    <w:p w14:paraId="58E0C545">
      <w:pPr>
        <w:pStyle w:val="1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负责监测分析全盟电力运行情况，协调处理电力运行和电网运行中的重大问题。依法开展全盟电力设施保护和电力行政执法工作，监督电力法律法规执行和电力技术应用情况。（根据中共锡林郭勒盟委员会机构编制委员会关于调整盟能源局职责编制的通知（锡机编委发〔2024〕72号）文件，将盟工业和信息化局的研究拟订全盟发电企业年度发电量预期调控目标、电力市场建设方案及年度实施计划等职责划入盟能源局。）</w:t>
      </w:r>
    </w:p>
    <w:p w14:paraId="11545022">
      <w:pPr>
        <w:pStyle w:val="1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6.负责全盟能源行业节能和资源综合利用，参与研究能源消费总量控制目标建议，指导协调能源消费总量控制有关工作，衔接能源生产建设和供需平衡。</w:t>
      </w:r>
    </w:p>
    <w:p w14:paraId="56642492">
      <w:pPr>
        <w:pStyle w:val="1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7.组织推进全盟能源重大装备技术研发及相关重大科研项目，指导能源科技进步、成套设备的引进消化创新，组织协调相关重大示范工程和新产品、新技术、新设备推广应用。</w:t>
      </w:r>
    </w:p>
    <w:p w14:paraId="3C544677">
      <w:pPr>
        <w:pStyle w:val="1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负责全盟电力运行和石油天然气长输管道安全生产监管工作。配合协调全盟电力和石油天然气长输管道安全生产事故应急救援、抢险救灾、调查处理等工作。（根据中共锡林郭勒盟委员会机构编制委员会关于调整盟能源局职责编制的通知（锡机编委发〔2024〕72号）文件，将盟能源局承担的煤矿安全监管等相关职责划入盟应急管理局。职责划转后，盟能源局全面履行“三管三必须”职责，从行业规划、政策法规、行政许可等方面加强煤矿安全生产工作，推动落实煤矿行业的相关规范和标准，形成齐抓共管、优势互补的煤矿安全监管新格局。）</w:t>
      </w:r>
    </w:p>
    <w:p w14:paraId="0717F843">
      <w:pPr>
        <w:pStyle w:val="1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9.完成盟委、行署交办的其他任务。</w:t>
      </w:r>
    </w:p>
    <w:p w14:paraId="5DA3EEA4">
      <w:pPr>
        <w:keepNext w:val="0"/>
        <w:keepLines w:val="0"/>
        <w:pageBreakBefore w:val="0"/>
        <w:kinsoku/>
        <w:wordWrap/>
        <w:overflowPunct/>
        <w:topLinePunct w:val="0"/>
        <w:bidi w:val="0"/>
        <w:adjustRightInd/>
        <w:spacing w:line="360" w:lineRule="auto"/>
        <w:ind w:left="0" w:leftChars="0" w:firstLine="640" w:firstLineChars="200"/>
        <w:textAlignment w:val="auto"/>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14:paraId="4EEDA9A4">
      <w:pPr>
        <w:keepNext w:val="0"/>
        <w:keepLines w:val="0"/>
        <w:pageBreakBefore w:val="0"/>
        <w:numPr>
          <w:ilvl w:val="0"/>
          <w:numId w:val="0"/>
        </w:numPr>
        <w:kinsoku/>
        <w:wordWrap/>
        <w:overflowPunct/>
        <w:topLinePunct w:val="0"/>
        <w:bidi w:val="0"/>
        <w:adjustRightInd/>
        <w:spacing w:line="360" w:lineRule="auto"/>
        <w:ind w:left="0" w:leftChars="0" w:firstLine="640" w:firstLineChars="200"/>
        <w:textAlignment w:val="auto"/>
        <w:rPr>
          <w:rFonts w:hint="eastAsia" w:eastAsia="仿宋_GB2312" w:cstheme="minorBidi"/>
          <w:sz w:val="32"/>
          <w:szCs w:val="32"/>
        </w:rPr>
      </w:pPr>
      <w:r>
        <w:rPr>
          <w:rFonts w:hint="eastAsia" w:eastAsia="仿宋_GB2312" w:cstheme="minorBidi"/>
          <w:sz w:val="32"/>
          <w:szCs w:val="32"/>
          <w:lang w:val="en-US" w:eastAsia="zh-CN"/>
        </w:rPr>
        <w:t>1.</w:t>
      </w:r>
      <w:r>
        <w:rPr>
          <w:rFonts w:hint="eastAsia" w:eastAsia="仿宋_GB2312" w:cstheme="minorBidi"/>
          <w:sz w:val="32"/>
          <w:szCs w:val="32"/>
        </w:rPr>
        <w:t>根据部门职责分工，本部门内设机构包括</w:t>
      </w:r>
      <w:r>
        <w:rPr>
          <w:rFonts w:hint="eastAsia" w:ascii="Times New Roman" w:hAnsi="Times New Roman" w:eastAsia="仿宋_GB2312" w:cs="Times New Roman"/>
          <w:kern w:val="2"/>
          <w:sz w:val="32"/>
          <w:szCs w:val="32"/>
          <w:lang w:val="en-US" w:eastAsia="zh-CN" w:bidi="ar-SA"/>
        </w:rPr>
        <w:t>办公室、综合科、电力科、煤炭管理科、安全发展科、新能源和科技装备科</w:t>
      </w:r>
      <w:r>
        <w:rPr>
          <w:rFonts w:hint="eastAsia" w:eastAsia="仿宋_GB2312" w:cstheme="minorBidi"/>
          <w:sz w:val="32"/>
          <w:szCs w:val="32"/>
        </w:rPr>
        <w:t>。本部门下属单位包括：锡林郭勒盟能源局综合保障中心。</w:t>
      </w:r>
    </w:p>
    <w:p w14:paraId="220BE53E">
      <w:pPr>
        <w:keepNext w:val="0"/>
        <w:keepLines w:val="0"/>
        <w:pageBreakBefore w:val="0"/>
        <w:widowControl/>
        <w:suppressLineNumbers w:val="0"/>
        <w:kinsoku/>
        <w:wordWrap/>
        <w:overflowPunct/>
        <w:topLinePunct w:val="0"/>
        <w:autoSpaceDE w:val="0"/>
        <w:autoSpaceDN w:val="0"/>
        <w:bidi w:val="0"/>
        <w:adjustRightInd/>
        <w:spacing w:beforeAutospacing="0" w:afterAutospacing="0" w:line="360" w:lineRule="auto"/>
        <w:ind w:left="0" w:leftChars="0" w:right="0" w:firstLine="640" w:firstLineChars="200"/>
        <w:textAlignment w:val="auto"/>
        <w:rPr>
          <w:rFonts w:hint="eastAsia" w:ascii="仿宋_GB2312" w:hAnsi="宋体" w:eastAsia="仿宋_GB2312" w:cs="仿宋_GB2312"/>
          <w:kern w:val="0"/>
          <w:sz w:val="32"/>
          <w:szCs w:val="32"/>
        </w:rPr>
      </w:pPr>
      <w:r>
        <w:rPr>
          <w:rFonts w:hint="eastAsia" w:eastAsia="仿宋_GB2312" w:cstheme="minorBidi"/>
          <w:sz w:val="32"/>
          <w:szCs w:val="32"/>
        </w:rPr>
        <w:t>2．从预算单位构成看，纳入本部门</w:t>
      </w:r>
      <w:r>
        <w:rPr>
          <w:rFonts w:hint="eastAsia" w:eastAsia="仿宋_GB2312" w:cstheme="minorBidi"/>
          <w:sz w:val="32"/>
          <w:szCs w:val="32"/>
          <w:lang w:val="en-US" w:eastAsia="zh-CN"/>
        </w:rPr>
        <w:t>2025</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2</w:t>
      </w:r>
      <w:r>
        <w:rPr>
          <w:rFonts w:hint="eastAsia" w:eastAsia="仿宋_GB2312" w:cstheme="minorBidi"/>
          <w:sz w:val="32"/>
          <w:szCs w:val="32"/>
        </w:rPr>
        <w:t>家，具体包括：</w:t>
      </w:r>
      <w:r>
        <w:rPr>
          <w:rFonts w:hint="eastAsia" w:eastAsia="仿宋_GB2312" w:cstheme="minorBidi"/>
          <w:sz w:val="32"/>
          <w:szCs w:val="32"/>
          <w:lang w:eastAsia="zh-CN"/>
        </w:rPr>
        <w:t>锡林郭勒盟能源局</w:t>
      </w:r>
      <w:r>
        <w:rPr>
          <w:rFonts w:hint="eastAsia" w:eastAsia="仿宋_GB2312" w:cstheme="minorBidi"/>
          <w:sz w:val="32"/>
          <w:szCs w:val="32"/>
        </w:rPr>
        <w:t>部门本级</w:t>
      </w:r>
      <w:r>
        <w:rPr>
          <w:rFonts w:hint="eastAsia" w:ascii="仿宋_GB2312" w:hAnsi="宋体" w:eastAsia="仿宋_GB2312" w:cs="仿宋_GB2312"/>
          <w:kern w:val="0"/>
          <w:sz w:val="32"/>
          <w:szCs w:val="32"/>
        </w:rPr>
        <w:t>、锡林郭勒盟能源局综合保障中心。</w:t>
      </w:r>
    </w:p>
    <w:p w14:paraId="0569EBAD">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14:paraId="7F5EFF5E">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14:paraId="6E2A8AC4">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14:paraId="6F44D6F0">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14:paraId="1E9FB2B3">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14:paraId="073168FA">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14:paraId="2266D4E1">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14:paraId="5FAB690B">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lang w:eastAsia="zh-CN"/>
              </w:rPr>
              <w:t>锡林郭勒盟能源局</w:t>
            </w:r>
          </w:p>
        </w:tc>
        <w:tc>
          <w:tcPr>
            <w:tcW w:w="4428" w:type="dxa"/>
            <w:tcBorders>
              <w:top w:val="nil"/>
              <w:left w:val="nil"/>
              <w:bottom w:val="single" w:color="auto" w:sz="4" w:space="0"/>
              <w:right w:val="single" w:color="auto" w:sz="4" w:space="0"/>
            </w:tcBorders>
            <w:vAlign w:val="center"/>
          </w:tcPr>
          <w:p w14:paraId="2D009EF6">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财政拨款的行政单位</w:t>
            </w:r>
          </w:p>
        </w:tc>
      </w:tr>
      <w:tr w14:paraId="2D7BBF81">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14:paraId="32515EFD">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4043" w:type="dxa"/>
            <w:tcBorders>
              <w:top w:val="nil"/>
              <w:left w:val="nil"/>
              <w:bottom w:val="single" w:color="auto" w:sz="4" w:space="0"/>
              <w:right w:val="single" w:color="auto" w:sz="4" w:space="0"/>
            </w:tcBorders>
            <w:vAlign w:val="center"/>
          </w:tcPr>
          <w:p w14:paraId="4FBF806B">
            <w:pPr>
              <w:pageBreakBefore w:val="0"/>
              <w:widowControl/>
              <w:kinsoku/>
              <w:wordWrap/>
              <w:overflowPunct/>
              <w:topLinePunct w:val="0"/>
              <w:bidi w:val="0"/>
              <w:spacing w:line="600" w:lineRule="exact"/>
              <w:jc w:val="center"/>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锡林郭勒盟能源局</w:t>
            </w:r>
          </w:p>
          <w:p w14:paraId="723561E1">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_GB2312" w:hAnsi="宋体" w:eastAsia="仿宋_GB2312" w:cs="仿宋_GB2312"/>
                <w:kern w:val="0"/>
                <w:sz w:val="32"/>
                <w:szCs w:val="32"/>
              </w:rPr>
              <w:t>综合保障中心</w:t>
            </w:r>
          </w:p>
        </w:tc>
        <w:tc>
          <w:tcPr>
            <w:tcW w:w="4428" w:type="dxa"/>
            <w:tcBorders>
              <w:top w:val="nil"/>
              <w:left w:val="nil"/>
              <w:bottom w:val="single" w:color="auto" w:sz="4" w:space="0"/>
              <w:right w:val="single" w:color="auto" w:sz="4" w:space="0"/>
            </w:tcBorders>
            <w:vAlign w:val="center"/>
          </w:tcPr>
          <w:p w14:paraId="50CCE2DB">
            <w:pPr>
              <w:widowControl/>
              <w:jc w:val="center"/>
              <w:rPr>
                <w:rFonts w:ascii="仿宋" w:hAnsi="仿宋" w:eastAsia="仿宋" w:cs="仿宋"/>
                <w:kern w:val="0"/>
                <w:sz w:val="30"/>
                <w:szCs w:val="30"/>
              </w:rPr>
            </w:pPr>
            <w:r>
              <w:rPr>
                <w:rFonts w:hint="eastAsia" w:ascii="仿宋" w:hAnsi="仿宋" w:eastAsia="仿宋" w:cs="仿宋"/>
                <w:color w:val="000000"/>
                <w:kern w:val="0"/>
                <w:sz w:val="31"/>
                <w:szCs w:val="31"/>
                <w:lang w:bidi="ar"/>
              </w:rPr>
              <w:t>公益一类事业单位</w:t>
            </w:r>
          </w:p>
        </w:tc>
      </w:tr>
    </w:tbl>
    <w:p w14:paraId="2AC204C1">
      <w:pPr>
        <w:pageBreakBefore w:val="0"/>
        <w:kinsoku/>
        <w:wordWrap/>
        <w:overflowPunct/>
        <w:topLinePunct w:val="0"/>
        <w:bidi w:val="0"/>
        <w:spacing w:line="600" w:lineRule="exact"/>
        <w:rPr>
          <w:rFonts w:eastAsia="仿宋_GB2312" w:cstheme="minorBidi"/>
          <w:sz w:val="32"/>
          <w:szCs w:val="32"/>
        </w:rPr>
      </w:pPr>
    </w:p>
    <w:p w14:paraId="49E7FDB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微软雅黑" w:hAnsi="微软雅黑" w:eastAsia="微软雅黑" w:cs="微软雅黑"/>
          <w:b w:val="0"/>
          <w:bCs w:val="0"/>
          <w:sz w:val="36"/>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年部门主要工作任务及目标</w:t>
      </w:r>
    </w:p>
    <w:p w14:paraId="66CE425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default" w:ascii="华文仿宋" w:hAnsi="华文仿宋" w:eastAsia="华文仿宋"/>
          <w:b/>
          <w:bCs/>
          <w:sz w:val="32"/>
          <w:szCs w:val="32"/>
          <w:lang w:val="en-US" w:eastAsia="zh-CN"/>
        </w:rPr>
      </w:pPr>
      <w:r>
        <w:rPr>
          <w:rFonts w:hint="eastAsia" w:ascii="楷体_GB2312" w:hAnsi="楷体_GB2312" w:eastAsia="楷体_GB2312" w:cs="楷体_GB2312"/>
          <w:b/>
          <w:bCs/>
          <w:color w:val="auto"/>
          <w:sz w:val="32"/>
          <w:szCs w:val="32"/>
          <w:lang w:val="en-US" w:eastAsia="zh-CN"/>
        </w:rPr>
        <w:t>（一）认真落实煤炭保供任务，扎实推动煤炭产业高质量发展。</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一是确保煤炭稳产稳供。</w:t>
      </w:r>
      <w:r>
        <w:rPr>
          <w:rFonts w:hint="eastAsia" w:ascii="仿宋_GB2312" w:hAnsi="仿宋_GB2312" w:eastAsia="仿宋_GB2312" w:cs="仿宋_GB2312"/>
          <w:i w:val="0"/>
          <w:iCs w:val="0"/>
          <w:caps w:val="0"/>
          <w:color w:val="auto"/>
          <w:spacing w:val="0"/>
          <w:sz w:val="32"/>
          <w:szCs w:val="32"/>
          <w:shd w:val="clear" w:color="auto" w:fill="FFFFFF"/>
          <w:lang w:val="en-US" w:eastAsia="zh-CN"/>
        </w:rPr>
        <w:t>在确保安全生产的前提下，积极推动优质产能稳定释放，强化煤炭产、运、销调度，提前谋划保障煤矿接续用地需求，全年生产煤炭1.45亿吨左右，力争达到1.5亿吨。</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二是加快完善在建煤矿手续</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。推动五间房西一号煤矿竣工投产，达安煤矿进入联合试运转，查干陶勒盖煤矿在完善矿区总规、采矿证、项目核准等手续的基础上，力争正式开工建设。</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三是尽早完成采空区治理任务。</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加快推进坤宝采空区回填复垦治理工作，确保在2025年10月底前完成竣工验收，全面完成我盟采空区治理任务目标。</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四是高标准推进煤矿智能化建设。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争取到2025年底露天煤矿无人驾驶达到180台以上，煤矿胶带巡检机器人替代率达到80%，推进露天煤矿安全管控台应用全覆盖，井工煤矿至少实现智能化一采一掘，井下人员较当前再减少10%以上，再建设一批先进标杆示范性智能化煤矿。</w:t>
      </w:r>
    </w:p>
    <w:p w14:paraId="65F21F65">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仿宋" w:cs="Times New Roman"/>
          <w:sz w:val="32"/>
          <w:szCs w:val="32"/>
          <w:lang w:val="en-US"/>
        </w:rPr>
      </w:pPr>
      <w:r>
        <w:rPr>
          <w:rFonts w:hint="eastAsia" w:ascii="楷体_GB2312" w:hAnsi="楷体_GB2312" w:eastAsia="楷体_GB2312" w:cs="楷体_GB2312"/>
          <w:b/>
          <w:bCs/>
          <w:color w:val="auto"/>
          <w:sz w:val="32"/>
          <w:szCs w:val="32"/>
          <w:lang w:val="en-US" w:eastAsia="zh-CN"/>
        </w:rPr>
        <w:t>（二）有序推进煤电项目建设，压实煤电支撑保障作用。一是加快推进在建电厂建设。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确保江苏能源乌拉盖电厂2025年建成投产，苏能白音华金山电厂、中煤芒来电厂力争年内达到并网调试条件。到2025年底全盟火电装机规模达到1900万千瓦，火电发电量达到700亿度左右。</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二是谋划争取新增煤电建设指标。</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推动蒙能查干陶勒盖2×100万千瓦、中煤芒来二期2×66万千瓦、京能查干淖尔2×66万千瓦等煤电机组完成可研编制和敏感性因素排查，力争1-2个电源纳入国家电力规划。</w:t>
      </w:r>
    </w:p>
    <w:p w14:paraId="05CAE78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643" w:firstLineChars="200"/>
        <w:jc w:val="both"/>
        <w:textAlignment w:val="auto"/>
        <w:rPr>
          <w:rFonts w:hint="default" w:ascii="仿宋_GB2312" w:hAnsi="仿宋_GB2312" w:eastAsia="仿宋_GB2312" w:cs="仿宋_GB2312"/>
          <w:b w:val="0"/>
          <w:bCs w:val="0"/>
          <w:color w:val="0000FF"/>
          <w:sz w:val="32"/>
          <w:szCs w:val="32"/>
          <w:lang w:val="en-US" w:eastAsia="zh-CN"/>
        </w:rPr>
      </w:pPr>
      <w:r>
        <w:rPr>
          <w:rFonts w:hint="eastAsia" w:ascii="楷体_GB2312" w:hAnsi="楷体_GB2312" w:eastAsia="楷体_GB2312" w:cs="楷体_GB2312"/>
          <w:b/>
          <w:bCs/>
          <w:color w:val="auto"/>
          <w:sz w:val="32"/>
          <w:szCs w:val="32"/>
          <w:lang w:val="en-US" w:eastAsia="zh-CN"/>
        </w:rPr>
        <w:t>（三）做优做强新能源产业，打造能源产业新兴增长极。</w:t>
      </w:r>
      <w:r>
        <w:rPr>
          <w:rFonts w:hint="eastAsia" w:ascii="仿宋_GB2312" w:hAnsi="仿宋_GB2312" w:eastAsia="仿宋_GB2312" w:cs="仿宋_GB2312"/>
          <w:b/>
          <w:bCs/>
          <w:color w:val="auto"/>
          <w:sz w:val="32"/>
          <w:szCs w:val="32"/>
          <w:lang w:val="en-US" w:eastAsia="zh-CN"/>
        </w:rPr>
        <w:t>一是继续做大新能源装机规模。</w:t>
      </w:r>
      <w:r>
        <w:rPr>
          <w:rFonts w:hint="eastAsia" w:ascii="仿宋_GB2312" w:hAnsi="仿宋_GB2312" w:eastAsia="仿宋_GB2312" w:cs="仿宋_GB2312"/>
          <w:b w:val="0"/>
          <w:bCs w:val="0"/>
          <w:sz w:val="32"/>
          <w:szCs w:val="32"/>
          <w:lang w:val="en-US" w:eastAsia="zh-CN"/>
        </w:rPr>
        <w:t>在推动2024年度270万千瓦防沙治沙和风电光伏一体化工程新能源侧全部建成投运的基础上，争取推动2025年度120万千万新能源开工建设。力争特高压三期500万千瓦基地年内基本建成。到2025年底</w:t>
      </w:r>
      <w:r>
        <w:rPr>
          <w:rFonts w:hint="eastAsia" w:ascii="仿宋_GB2312" w:hAnsi="仿宋_GB2312" w:eastAsia="仿宋_GB2312" w:cs="仿宋_GB2312"/>
          <w:b w:val="0"/>
          <w:bCs w:val="0"/>
          <w:color w:val="auto"/>
          <w:sz w:val="32"/>
          <w:szCs w:val="32"/>
          <w:lang w:val="en-US" w:eastAsia="zh-CN"/>
        </w:rPr>
        <w:t>全盟新能源装机规模达到2800万千瓦以上，新能源装机占比达到59%，全年新能源发电量达到500亿度左右，绿电占比达到40%以上。</w:t>
      </w:r>
      <w:r>
        <w:rPr>
          <w:rFonts w:hint="eastAsia" w:ascii="仿宋_GB2312" w:hAnsi="仿宋_GB2312" w:eastAsia="仿宋_GB2312" w:cs="仿宋_GB2312"/>
          <w:b/>
          <w:bCs/>
          <w:color w:val="auto"/>
          <w:sz w:val="32"/>
          <w:szCs w:val="32"/>
          <w:lang w:val="en-US" w:eastAsia="zh-CN"/>
        </w:rPr>
        <w:t>二是深入拓展新能源应用场景。</w:t>
      </w:r>
      <w:r>
        <w:rPr>
          <w:rFonts w:hint="eastAsia" w:ascii="仿宋_GB2312" w:hAnsi="仿宋_GB2312" w:eastAsia="仿宋_GB2312" w:cs="仿宋_GB2312"/>
          <w:b w:val="0"/>
          <w:bCs w:val="0"/>
          <w:color w:val="auto"/>
          <w:sz w:val="32"/>
          <w:szCs w:val="32"/>
          <w:lang w:val="en-US" w:eastAsia="zh-CN"/>
        </w:rPr>
        <w:t>全力推动国电投自备电厂风电替代等已批复市场化并网项目建设进度，力争年内应并尽并；推动新蒙新源网荷储一体化等项目加快建设，全面推动“绿电+高载能”产业向纵深发展。在此基础上，鼓励新上、存量负荷企业积极申报争取相关市场化项目，将绿电优势转化为行业发展优势。</w:t>
      </w:r>
      <w:r>
        <w:rPr>
          <w:rFonts w:hint="eastAsia" w:ascii="仿宋_GB2312" w:hAnsi="仿宋_GB2312" w:eastAsia="仿宋_GB2312" w:cs="仿宋_GB2312"/>
          <w:b/>
          <w:bCs/>
          <w:color w:val="auto"/>
          <w:sz w:val="32"/>
          <w:szCs w:val="32"/>
          <w:lang w:val="en-US" w:eastAsia="zh-CN"/>
        </w:rPr>
        <w:t>三是谋划布局新的千万千瓦级绿电输出基地。</w:t>
      </w:r>
      <w:r>
        <w:rPr>
          <w:rFonts w:hint="eastAsia" w:ascii="仿宋_GB2312" w:hAnsi="仿宋_GB2312" w:eastAsia="仿宋_GB2312" w:cs="仿宋_GB2312"/>
          <w:b w:val="0"/>
          <w:bCs w:val="0"/>
          <w:color w:val="auto"/>
          <w:sz w:val="32"/>
          <w:szCs w:val="32"/>
          <w:lang w:val="en-US" w:eastAsia="zh-CN"/>
        </w:rPr>
        <w:t>借助《国务院关于推动内蒙古高质量发展奋力书写中国式现代化新篇章的意见》等政策发布的有利契机，全力推动浑善达克沙地至京津冀、锡盟至华东第二条等电力外送通道及配套千万千瓦新能源基地论证工作，争取早日纳入国家相关规划。</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四是</w:t>
      </w:r>
      <w:r>
        <w:rPr>
          <w:rFonts w:hint="eastAsia" w:ascii="楷体_GB2312" w:hAnsi="楷体_GB2312" w:eastAsia="楷体_GB2312" w:cs="楷体_GB2312"/>
          <w:b/>
          <w:bCs/>
          <w:color w:val="auto"/>
          <w:sz w:val="32"/>
          <w:szCs w:val="32"/>
          <w:lang w:val="en-US" w:eastAsia="zh-CN"/>
        </w:rPr>
        <w:t>延伸能源装备制造产业链条。</w:t>
      </w:r>
      <w:r>
        <w:rPr>
          <w:rFonts w:hint="eastAsia" w:ascii="仿宋_GB2312" w:hAnsi="仿宋_GB2312" w:eastAsia="仿宋_GB2312" w:cs="仿宋_GB2312"/>
          <w:b w:val="0"/>
          <w:bCs w:val="0"/>
          <w:color w:val="auto"/>
          <w:sz w:val="32"/>
          <w:szCs w:val="32"/>
          <w:lang w:val="en-US" w:eastAsia="zh-CN"/>
        </w:rPr>
        <w:t>继续加大招商引资力度，全面补链、强链，加快引进目前盟内空缺或产能不足的齿轮箱、塔筒等产业项目，争取到2025年底风电主机、塔筒、叶片等主要零部件产能基本满足本地区需求。同步围绕储能、光伏、氢能等装备制造产业开展精准招商，着力构建风光氢储全产业链。</w:t>
      </w:r>
    </w:p>
    <w:p w14:paraId="2B9D81F7">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rPr>
      </w:pPr>
      <w:r>
        <w:rPr>
          <w:rFonts w:hint="eastAsia" w:ascii="楷体_GB2312" w:hAnsi="楷体_GB2312" w:eastAsia="楷体_GB2312" w:cs="楷体_GB2312"/>
          <w:b/>
          <w:bCs/>
          <w:color w:val="auto"/>
          <w:sz w:val="32"/>
          <w:szCs w:val="32"/>
          <w:lang w:val="en-US" w:eastAsia="zh-CN"/>
        </w:rPr>
        <w:t>（四）强化电网等基础设施建设，提升全盟电力消纳送出能力。一是加强</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盟内电网主网架建设。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快推进中煤芒来电厂500千伏送出工程和锡西二站500千伏电网工程前期手续办理和施工建设进度，力争2025年4月全面开工，2025年底建成投运；加快推进锡西至塔拉500千伏线路建设进度，确保工程2025年底建成投运；加快推进黄旗500千伏变电站、锡西至察右中第三回500千伏前期纳规组件，力争2025年纳入国家电力规划。</w:t>
      </w:r>
      <w:r>
        <w:rPr>
          <w:rFonts w:hint="eastAsia" w:ascii="楷体_GB2312" w:hAnsi="楷体_GB2312" w:eastAsia="楷体_GB2312" w:cs="楷体_GB2312"/>
          <w:b/>
          <w:bCs/>
          <w:color w:val="auto"/>
          <w:sz w:val="32"/>
          <w:szCs w:val="32"/>
          <w:lang w:val="en-US" w:eastAsia="zh-CN"/>
        </w:rPr>
        <w:t>二是持续提升电力外送能力。</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快推进特高压三期500万千瓦新能源配套电网工程前期手续办理和施工建设进度，力争工程2025年4月全面开工，2025年年底建成投运；加快推进巴彦杭盖至胜利500千伏线路建设进度，确保工程2025年底建成投运。此外，进一步完善多伦至承德1000千伏特高压联络线、浑善达克沙地至京津冀特高压外送通道以及锡盟至华东第二条特高压外送通道输电规划，争取将相关特高压通道尽早纳入国家电力规划。</w:t>
      </w:r>
      <w:r>
        <w:rPr>
          <w:rFonts w:hint="eastAsia" w:ascii="楷体_GB2312" w:hAnsi="楷体_GB2312" w:eastAsia="楷体_GB2312" w:cs="楷体_GB2312"/>
          <w:b/>
          <w:bCs/>
          <w:color w:val="auto"/>
          <w:sz w:val="32"/>
          <w:szCs w:val="32"/>
          <w:lang w:val="en-US" w:eastAsia="zh-CN"/>
        </w:rPr>
        <w:t>三是推动新型储能项目有序建设。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快推进蓝旗阿尔善图、西苏旗锡西二站、西乌旗宝拉格、东苏旗东苏4个100万千瓦/4小时独立储能示范项目前期工作，力争年内开工；加快推进河北建投苏尼特左旗10完千瓦/4小时压缩空气储能项目（全盟首个）以及特高压三期500万千瓦新能源配套的75万千瓦/2小时储能项目建设进度，确保年底建成投运。为更好的发挥配储电站的调节作用，拓宽配储电站的盈利模式，研究制定锡盟特高压新能源配套储能转独立储能电站以及独立储能电站参与市场化电力交易的可行性。</w:t>
      </w:r>
    </w:p>
    <w:p w14:paraId="5DA4B2E2">
      <w:pPr>
        <w:pStyle w:val="6"/>
        <w:keepNext/>
        <w:keepLines/>
        <w:pageBreakBefore w:val="0"/>
        <w:widowControl w:val="0"/>
        <w:tabs>
          <w:tab w:val="left" w:pos="4392"/>
        </w:tabs>
        <w:kinsoku/>
        <w:wordWrap/>
        <w:overflowPunct/>
        <w:topLinePunct w:val="0"/>
        <w:autoSpaceDE/>
        <w:autoSpaceDN/>
        <w:bidi w:val="0"/>
        <w:adjustRightInd/>
        <w:snapToGrid/>
        <w:spacing w:before="0" w:beforeLines="100" w:after="0" w:afterLines="100" w:line="600" w:lineRule="exact"/>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第二部分</w:t>
      </w:r>
      <w:r>
        <w:rPr>
          <w:rFonts w:hint="eastAsia" w:ascii="微软雅黑" w:hAnsi="微软雅黑" w:eastAsia="微软雅黑" w:cs="微软雅黑"/>
          <w:b w:val="0"/>
          <w:bCs w:val="0"/>
          <w:sz w:val="36"/>
          <w:szCs w:val="36"/>
          <w:lang w:val="en-US" w:eastAsia="zh-CN"/>
        </w:rPr>
        <w:t>2025</w:t>
      </w:r>
      <w:r>
        <w:rPr>
          <w:rFonts w:hint="eastAsia" w:ascii="微软雅黑" w:hAnsi="微软雅黑" w:eastAsia="微软雅黑" w:cs="微软雅黑"/>
          <w:b w:val="0"/>
          <w:bCs w:val="0"/>
          <w:sz w:val="36"/>
          <w:szCs w:val="36"/>
        </w:rPr>
        <w:t>年度部门预算情况说明</w:t>
      </w:r>
    </w:p>
    <w:p w14:paraId="0A94FCE9">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一、收支预算总体情况说明</w:t>
      </w:r>
    </w:p>
    <w:p w14:paraId="3F01279C">
      <w:pPr>
        <w:pStyle w:val="2"/>
        <w:keepNext w:val="0"/>
        <w:keepLines w:val="0"/>
        <w:pageBreakBefore w:val="0"/>
        <w:widowControl w:val="0"/>
        <w:tabs>
          <w:tab w:val="left" w:pos="5840"/>
          <w:tab w:val="left" w:pos="7858"/>
          <w:tab w:val="left" w:pos="9328"/>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锡林郭勒盟能源局</w:t>
      </w:r>
      <w:r>
        <w:rPr>
          <w:rFonts w:hint="eastAsia" w:ascii="仿宋_GB2312" w:hAnsi="仿宋_GB2312" w:eastAsia="仿宋_GB2312" w:cs="仿宋_GB2312"/>
          <w:sz w:val="32"/>
          <w:szCs w:val="32"/>
          <w:u w:val="single"/>
        </w:rPr>
        <w:t>部门</w:t>
      </w:r>
      <w:r>
        <w:rPr>
          <w:rFonts w:hint="eastAsia" w:eastAsia="仿宋_GB2312" w:cs="Times New Roman"/>
          <w:sz w:val="32"/>
          <w:szCs w:val="32"/>
          <w:lang w:val="en-US" w:eastAsia="zh-CN"/>
        </w:rPr>
        <w:t>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lang w:val="en-US" w:eastAsia="zh-CN"/>
        </w:rPr>
        <w:t>1662.08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万元，与上年相比收、支预算总计各减少</w:t>
      </w:r>
      <w:r>
        <w:rPr>
          <w:rFonts w:hint="eastAsia" w:ascii="仿宋_GB2312" w:hAnsi="仿宋_GB2312" w:eastAsia="仿宋_GB2312" w:cs="仿宋_GB2312"/>
          <w:sz w:val="32"/>
          <w:szCs w:val="32"/>
          <w:u w:val="single"/>
          <w:lang w:val="en-US" w:eastAsia="zh-CN"/>
        </w:rPr>
        <w:t>1182.16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41.56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14:paraId="5217BF94">
      <w:pPr>
        <w:pStyle w:val="2"/>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_GB2312" w:hAnsi="仿宋_GB2312" w:eastAsia="仿宋_GB2312" w:cs="仿宋_GB2312"/>
          <w:sz w:val="32"/>
          <w:szCs w:val="32"/>
          <w:u w:val="single"/>
          <w:lang w:val="en-US" w:eastAsia="zh-CN"/>
        </w:rPr>
        <w:t>1662.08</w:t>
      </w:r>
      <w:r>
        <w:rPr>
          <w:rFonts w:hint="eastAsia" w:ascii="楷体" w:hAnsi="楷体" w:eastAsia="楷体" w:cs="楷体"/>
          <w:b/>
          <w:bCs/>
          <w:sz w:val="32"/>
          <w:szCs w:val="32"/>
        </w:rPr>
        <w:t>万元。包括：</w:t>
      </w:r>
    </w:p>
    <w:p w14:paraId="354E62DD">
      <w:pPr>
        <w:pStyle w:val="2"/>
        <w:keepNext w:val="0"/>
        <w:keepLines w:val="0"/>
        <w:pageBreakBefore w:val="0"/>
        <w:widowControl w:val="0"/>
        <w:tabs>
          <w:tab w:val="left" w:pos="3792"/>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1336.68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7DB90E31">
      <w:pPr>
        <w:pStyle w:val="2"/>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1336.68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506.45</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27.48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w:t>
      </w:r>
      <w:r>
        <w:rPr>
          <w:rFonts w:hint="eastAsia" w:eastAsia="仿宋_GB2312" w:cs="Times New Roman"/>
          <w:sz w:val="32"/>
          <w:szCs w:val="32"/>
          <w:lang w:val="en-US" w:eastAsia="zh-CN"/>
        </w:rPr>
        <w:t>是</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机构改革煤矿安全监管职能划转，本年无煤矿安全相关的项目经费，此外，原二级事业单位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sz w:val="32"/>
          <w:szCs w:val="32"/>
        </w:rPr>
        <w:t>一般公共预算拨款收入</w:t>
      </w:r>
      <w:r>
        <w:rPr>
          <w:rFonts w:hint="eastAsia" w:ascii="Times New Roman" w:hAnsi="Times New Roman" w:eastAsia="仿宋_GB2312" w:cs="Times New Roman"/>
          <w:sz w:val="32"/>
          <w:szCs w:val="32"/>
          <w:lang w:val="en-US" w:eastAsia="zh-CN"/>
        </w:rPr>
        <w:t>较上年减少</w:t>
      </w:r>
      <w:r>
        <w:rPr>
          <w:rFonts w:hint="eastAsia" w:eastAsia="仿宋_GB2312" w:cs="Times New Roman"/>
          <w:sz w:val="32"/>
          <w:szCs w:val="32"/>
          <w:lang w:val="en-US" w:eastAsia="zh-CN"/>
        </w:rPr>
        <w:t>。</w:t>
      </w:r>
    </w:p>
    <w:p w14:paraId="5B91D2D8">
      <w:pPr>
        <w:pStyle w:val="2"/>
        <w:keepNext w:val="0"/>
        <w:keepLines w:val="0"/>
        <w:pageBreakBefore w:val="0"/>
        <w:widowControl w:val="0"/>
        <w:tabs>
          <w:tab w:val="left" w:pos="1389"/>
          <w:tab w:val="left" w:pos="4911"/>
          <w:tab w:val="left" w:pos="5991"/>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1CCFFD61">
      <w:pPr>
        <w:pStyle w:val="2"/>
        <w:keepNext w:val="0"/>
        <w:keepLines w:val="0"/>
        <w:pageBreakBefore w:val="0"/>
        <w:widowControl w:val="0"/>
        <w:tabs>
          <w:tab w:val="left" w:pos="1389"/>
          <w:tab w:val="left" w:pos="4911"/>
          <w:tab w:val="left" w:pos="6205"/>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098C2A7B">
      <w:pPr>
        <w:pStyle w:val="2"/>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6EA4C450">
      <w:pPr>
        <w:pStyle w:val="2"/>
        <w:keepNext w:val="0"/>
        <w:keepLines w:val="0"/>
        <w:pageBreakBefore w:val="0"/>
        <w:widowControl w:val="0"/>
        <w:tabs>
          <w:tab w:val="left" w:pos="3310"/>
          <w:tab w:val="left" w:pos="3807"/>
          <w:tab w:val="left" w:pos="9433"/>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4FFEB7CC">
      <w:pPr>
        <w:pStyle w:val="2"/>
        <w:keepNext w:val="0"/>
        <w:keepLines w:val="0"/>
        <w:pageBreakBefore w:val="0"/>
        <w:widowControl w:val="0"/>
        <w:tabs>
          <w:tab w:val="left" w:pos="1389"/>
          <w:tab w:val="left" w:pos="4911"/>
          <w:tab w:val="left" w:pos="590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2774B4FE">
      <w:pPr>
        <w:pStyle w:val="2"/>
        <w:keepNext w:val="0"/>
        <w:keepLines w:val="0"/>
        <w:pageBreakBefore w:val="0"/>
        <w:widowControl w:val="0"/>
        <w:tabs>
          <w:tab w:val="left" w:pos="4320"/>
          <w:tab w:val="left" w:pos="9433"/>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rPr>
        <w:t>%。主要原因是不存在此项内容。</w:t>
      </w:r>
    </w:p>
    <w:p w14:paraId="701336D5">
      <w:pPr>
        <w:pStyle w:val="2"/>
        <w:keepNext w:val="0"/>
        <w:keepLines w:val="0"/>
        <w:pageBreakBefore w:val="0"/>
        <w:widowControl w:val="0"/>
        <w:tabs>
          <w:tab w:val="left" w:pos="1389"/>
          <w:tab w:val="left" w:pos="4911"/>
          <w:tab w:val="left" w:pos="590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4534F8AC">
      <w:pPr>
        <w:pStyle w:val="2"/>
        <w:keepNext w:val="0"/>
        <w:keepLines w:val="0"/>
        <w:pageBreakBefore w:val="0"/>
        <w:widowControl w:val="0"/>
        <w:tabs>
          <w:tab w:val="left" w:pos="3310"/>
          <w:tab w:val="left" w:pos="4121"/>
          <w:tab w:val="left" w:pos="9431"/>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6101AA04">
      <w:pPr>
        <w:pStyle w:val="2"/>
        <w:keepNext w:val="0"/>
        <w:keepLines w:val="0"/>
        <w:pageBreakBefore w:val="0"/>
        <w:widowControl w:val="0"/>
        <w:tabs>
          <w:tab w:val="left" w:pos="3310"/>
          <w:tab w:val="left" w:pos="4280"/>
          <w:tab w:val="left" w:pos="9431"/>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325.39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675.72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本年结转的项目</w:t>
      </w:r>
      <w:r>
        <w:rPr>
          <w:rFonts w:hint="eastAsia" w:eastAsia="仿宋_GB2312" w:cs="Times New Roman"/>
          <w:sz w:val="32"/>
          <w:szCs w:val="32"/>
          <w:lang w:val="en-US" w:eastAsia="zh-CN"/>
        </w:rPr>
        <w:t>较上年减少，相应结转资金也减少</w:t>
      </w:r>
      <w:r>
        <w:rPr>
          <w:rFonts w:hint="default" w:ascii="Times New Roman" w:hAnsi="Times New Roman" w:eastAsia="仿宋_GB2312" w:cs="Times New Roman"/>
          <w:sz w:val="32"/>
          <w:szCs w:val="32"/>
        </w:rPr>
        <w:t>。</w:t>
      </w:r>
    </w:p>
    <w:p w14:paraId="68891E3A">
      <w:pPr>
        <w:pStyle w:val="2"/>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_GB2312" w:hAnsi="仿宋_GB2312" w:eastAsia="仿宋_GB2312" w:cs="仿宋_GB2312"/>
          <w:sz w:val="32"/>
          <w:szCs w:val="32"/>
          <w:u w:val="single"/>
          <w:lang w:val="en-US" w:eastAsia="zh-CN"/>
        </w:rPr>
        <w:t>1662.08</w:t>
      </w:r>
      <w:r>
        <w:rPr>
          <w:rFonts w:hint="eastAsia" w:ascii="楷体" w:hAnsi="楷体" w:eastAsia="楷体" w:cs="楷体"/>
          <w:b/>
          <w:bCs/>
          <w:sz w:val="32"/>
          <w:szCs w:val="32"/>
        </w:rPr>
        <w:t>万元。包括：</w:t>
      </w:r>
    </w:p>
    <w:p w14:paraId="6151F10E">
      <w:pPr>
        <w:pStyle w:val="2"/>
        <w:keepNext w:val="0"/>
        <w:keepLines w:val="0"/>
        <w:pageBreakBefore w:val="0"/>
        <w:widowControl w:val="0"/>
        <w:tabs>
          <w:tab w:val="left" w:pos="3792"/>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ascii="仿宋_GB2312" w:hAnsi="仿宋_GB2312" w:eastAsia="仿宋_GB2312" w:cs="仿宋_GB2312"/>
          <w:sz w:val="32"/>
          <w:szCs w:val="32"/>
          <w:u w:val="single"/>
          <w:lang w:val="en-US" w:eastAsia="zh-CN"/>
        </w:rPr>
        <w:t>1662.08</w:t>
      </w:r>
      <w:r>
        <w:rPr>
          <w:rFonts w:hint="default" w:ascii="Times New Roman" w:hAnsi="Times New Roman" w:eastAsia="仿宋_GB2312" w:cs="Times New Roman"/>
          <w:sz w:val="32"/>
          <w:szCs w:val="32"/>
        </w:rPr>
        <w:t>万元。</w:t>
      </w:r>
    </w:p>
    <w:p w14:paraId="5C46BC08">
      <w:pPr>
        <w:pStyle w:val="2"/>
        <w:keepNext w:val="0"/>
        <w:keepLines w:val="0"/>
        <w:pageBreakBefore w:val="0"/>
        <w:widowControl w:val="0"/>
        <w:tabs>
          <w:tab w:val="left" w:pos="3288"/>
          <w:tab w:val="left" w:pos="5641"/>
          <w:tab w:val="left" w:pos="677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（1）一般公共服务（类）支出</w:t>
      </w:r>
      <w:r>
        <w:rPr>
          <w:rFonts w:hint="eastAsia" w:eastAsia="仿宋_GB2312" w:cs="Times New Roman"/>
          <w:sz w:val="32"/>
          <w:szCs w:val="32"/>
          <w:u w:val="single"/>
          <w:lang w:val="en-US" w:eastAsia="zh-CN"/>
        </w:rPr>
        <w:t>17.17</w:t>
      </w:r>
      <w:r>
        <w:rPr>
          <w:rFonts w:hint="default"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招商引资工作产生的差旅费等经费支出</w:t>
      </w:r>
      <w:r>
        <w:rPr>
          <w:rFonts w:hint="default"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6.44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27.28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上年</w:t>
      </w:r>
      <w:r>
        <w:rPr>
          <w:rFonts w:hint="default"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支出包含</w:t>
      </w:r>
      <w:r>
        <w:rPr>
          <w:rFonts w:hint="eastAsia" w:ascii="Times New Roman" w:hAnsi="Times New Roman" w:eastAsia="仿宋_GB2312" w:cs="Times New Roman"/>
          <w:color w:val="auto"/>
          <w:sz w:val="32"/>
          <w:szCs w:val="32"/>
          <w:lang w:val="en-US" w:eastAsia="zh-CN"/>
        </w:rPr>
        <w:t>浑善达克沙地沙盘制作经费，本年无此经费项目</w:t>
      </w:r>
      <w:r>
        <w:rPr>
          <w:rFonts w:hint="default" w:ascii="Times New Roman" w:hAnsi="Times New Roman" w:eastAsia="仿宋_GB2312" w:cs="Times New Roman"/>
          <w:sz w:val="32"/>
          <w:szCs w:val="32"/>
        </w:rPr>
        <w:t>。</w:t>
      </w:r>
    </w:p>
    <w:p w14:paraId="47E3F0F0">
      <w:pPr>
        <w:pStyle w:val="2"/>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）社</w:t>
      </w:r>
      <w:r>
        <w:rPr>
          <w:rFonts w:hint="default" w:ascii="Times New Roman" w:hAnsi="Times New Roman" w:eastAsia="仿宋_GB2312" w:cs="Times New Roman"/>
          <w:sz w:val="32"/>
          <w:szCs w:val="32"/>
        </w:rPr>
        <w:t>会保障和就业（类）支出</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58.48</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31.07</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34.69</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机构改革煤矿安全监管职能划转，我部门原二级事业单位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color w:val="auto"/>
          <w:sz w:val="32"/>
          <w:szCs w:val="32"/>
        </w:rPr>
        <w:t>社</w:t>
      </w:r>
      <w:r>
        <w:rPr>
          <w:rFonts w:hint="default" w:ascii="Times New Roman" w:hAnsi="Times New Roman" w:eastAsia="仿宋_GB2312" w:cs="Times New Roman"/>
          <w:sz w:val="32"/>
          <w:szCs w:val="32"/>
        </w:rPr>
        <w:t>会保障和就业支出</w:t>
      </w:r>
      <w:r>
        <w:rPr>
          <w:rFonts w:hint="eastAsia" w:ascii="Times New Roman" w:hAnsi="Times New Roman" w:eastAsia="仿宋_GB2312" w:cs="Times New Roman"/>
          <w:sz w:val="32"/>
          <w:szCs w:val="32"/>
          <w:lang w:val="en-US" w:eastAsia="zh-CN"/>
        </w:rPr>
        <w:t>较上年减少</w:t>
      </w:r>
      <w:r>
        <w:rPr>
          <w:rFonts w:hint="eastAsia" w:eastAsia="仿宋_GB2312" w:cs="Times New Roman"/>
          <w:sz w:val="32"/>
          <w:szCs w:val="32"/>
          <w:lang w:val="en-US" w:eastAsia="zh-CN"/>
        </w:rPr>
        <w:t>。</w:t>
      </w:r>
    </w:p>
    <w:p w14:paraId="1D51889D">
      <w:pPr>
        <w:pStyle w:val="2"/>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）卫生健康支出（类）支出</w:t>
      </w:r>
      <w:r>
        <w:rPr>
          <w:rFonts w:hint="eastAsia" w:ascii="Times New Roman" w:hAnsi="Times New Roman" w:eastAsia="仿宋_GB2312" w:cs="Times New Roman"/>
          <w:sz w:val="32"/>
          <w:szCs w:val="32"/>
          <w:u w:val="single"/>
          <w:lang w:val="en-US" w:eastAsia="zh-CN"/>
        </w:rPr>
        <w:t>24.37</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10.15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减少</w:t>
      </w:r>
      <w:r>
        <w:rPr>
          <w:rFonts w:hint="eastAsia" w:eastAsia="仿宋_GB2312" w:cs="Times New Roman"/>
          <w:color w:val="auto"/>
          <w:sz w:val="32"/>
          <w:szCs w:val="32"/>
          <w:u w:val="single"/>
          <w:lang w:val="en-US" w:eastAsia="zh-CN"/>
        </w:rPr>
        <w:t>29.39</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%。主要原因是</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机构改革煤矿安全监管职能划转，我部门原二级事业单位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lang w:val="en-US" w:eastAsia="zh-CN"/>
        </w:rPr>
        <w:t>较上年减少</w:t>
      </w:r>
      <w:r>
        <w:rPr>
          <w:rFonts w:hint="eastAsia" w:eastAsia="仿宋_GB2312" w:cs="Times New Roman"/>
          <w:sz w:val="32"/>
          <w:szCs w:val="32"/>
          <w:lang w:val="en-US" w:eastAsia="zh-CN"/>
        </w:rPr>
        <w:t>。</w:t>
      </w:r>
    </w:p>
    <w:p w14:paraId="0B59AC33">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）节能环保（类）支出</w:t>
      </w:r>
      <w:r>
        <w:rPr>
          <w:rFonts w:hint="eastAsia" w:ascii="Times New Roman" w:hAnsi="Times New Roman" w:eastAsia="仿宋_GB2312" w:cs="Times New Roman"/>
          <w:sz w:val="32"/>
          <w:szCs w:val="32"/>
          <w:u w:val="single"/>
          <w:lang w:val="en-US" w:eastAsia="zh-CN"/>
        </w:rPr>
        <w:t>1468.06</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u w:val="single"/>
          <w:lang w:val="en-US" w:eastAsia="zh-CN"/>
        </w:rPr>
        <w:t>253.91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增长</w:t>
      </w:r>
      <w:r>
        <w:rPr>
          <w:rFonts w:hint="eastAsia" w:ascii="Times New Roman" w:hAnsi="Times New Roman" w:eastAsia="仿宋_GB2312" w:cs="Times New Roman"/>
          <w:sz w:val="32"/>
          <w:szCs w:val="32"/>
          <w:u w:val="single"/>
          <w:lang w:val="en-US" w:eastAsia="zh-CN"/>
        </w:rPr>
        <w:t>20.91</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上年我部门涉及安全的项目支出主要在灾害防治及应急管理支出中，由于2024年机构改革煤矿安全监管职能划转至应急部门，我部门不再适用灾害防治及应急管理支出科目，因此将部分项目科目调整为</w:t>
      </w:r>
      <w:r>
        <w:rPr>
          <w:rFonts w:hint="default" w:ascii="Times New Roman" w:hAnsi="Times New Roman" w:eastAsia="仿宋_GB2312" w:cs="Times New Roman"/>
          <w:sz w:val="32"/>
          <w:szCs w:val="32"/>
        </w:rPr>
        <w:t>节能环保支出</w:t>
      </w:r>
      <w:r>
        <w:rPr>
          <w:rFonts w:hint="eastAsia" w:ascii="Times New Roman" w:hAnsi="Times New Roman" w:eastAsia="仿宋_GB2312" w:cs="Times New Roman"/>
          <w:sz w:val="32"/>
          <w:szCs w:val="32"/>
          <w:lang w:val="en-US" w:eastAsia="zh-CN"/>
        </w:rPr>
        <w:t>科目</w:t>
      </w:r>
      <w:r>
        <w:rPr>
          <w:rFonts w:hint="eastAsia" w:ascii="Times New Roman" w:hAnsi="Times New Roman" w:eastAsia="仿宋_GB2312" w:cs="Times New Roman"/>
          <w:sz w:val="32"/>
          <w:szCs w:val="32"/>
          <w:lang w:eastAsia="zh-CN"/>
        </w:rPr>
        <w:t>。</w:t>
      </w:r>
    </w:p>
    <w:p w14:paraId="6F92BD91">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）住房保障（类）支出</w:t>
      </w:r>
      <w:r>
        <w:rPr>
          <w:rFonts w:hint="eastAsia" w:eastAsia="仿宋_GB2312" w:cs="Times New Roman"/>
          <w:sz w:val="32"/>
          <w:szCs w:val="32"/>
          <w:u w:val="single"/>
          <w:lang w:val="en-US" w:eastAsia="zh-CN"/>
        </w:rPr>
        <w:t>71.32</w:t>
      </w:r>
      <w:r>
        <w:rPr>
          <w:rFonts w:hint="default" w:ascii="Times New Roman" w:hAnsi="Times New Roman" w:eastAsia="仿宋_GB2312" w:cs="Times New Roman"/>
          <w:sz w:val="32"/>
          <w:szCs w:val="32"/>
          <w:lang w:val="en-US" w:eastAsia="zh-CN"/>
        </w:rPr>
        <w:t>万元，与上年相比</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u w:val="single"/>
          <w:lang w:val="en-US" w:eastAsia="zh-CN"/>
        </w:rPr>
        <w:t xml:space="preserve"> </w:t>
      </w:r>
      <w:r>
        <w:rPr>
          <w:rFonts w:hint="eastAsia" w:eastAsia="仿宋_GB2312" w:cs="Times New Roman"/>
          <w:sz w:val="32"/>
          <w:szCs w:val="32"/>
          <w:u w:val="single"/>
          <w:lang w:val="en-US" w:eastAsia="zh-CN"/>
        </w:rPr>
        <w:t>32.58</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31.35</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%。主要原因是</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机构改革煤矿安全监管职能划转，我部门原二级事业单位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sz w:val="32"/>
          <w:szCs w:val="32"/>
          <w:lang w:val="en-US" w:eastAsia="zh-CN"/>
        </w:rPr>
        <w:t>住房公积金、住房补贴</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lang w:val="en-US" w:eastAsia="zh-CN"/>
        </w:rPr>
        <w:t>。</w:t>
      </w:r>
    </w:p>
    <w:p w14:paraId="0251F62D">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）灾害防治及应急管理（类）支出</w:t>
      </w:r>
      <w:r>
        <w:rPr>
          <w:rFonts w:hint="eastAsia" w:eastAsia="仿宋_GB2312" w:cs="Times New Roman"/>
          <w:sz w:val="32"/>
          <w:szCs w:val="32"/>
          <w:u w:val="single"/>
          <w:lang w:val="en-US" w:eastAsia="zh-CN"/>
        </w:rPr>
        <w:t>22.68</w:t>
      </w:r>
      <w:r>
        <w:rPr>
          <w:rFonts w:hint="default" w:ascii="Times New Roman" w:hAnsi="Times New Roman" w:eastAsia="仿宋_GB2312" w:cs="Times New Roman"/>
          <w:sz w:val="32"/>
          <w:szCs w:val="32"/>
          <w:lang w:val="en-US" w:eastAsia="zh-CN"/>
        </w:rPr>
        <w:t>万元，与上年相比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1355.85</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98.36</w:t>
      </w:r>
      <w:r>
        <w:rPr>
          <w:rFonts w:hint="default" w:ascii="Times New Roman" w:hAnsi="Times New Roman" w:eastAsia="仿宋_GB2312" w:cs="Times New Roman"/>
          <w:sz w:val="32"/>
          <w:szCs w:val="32"/>
          <w:lang w:val="en-US" w:eastAsia="zh-CN"/>
        </w:rPr>
        <w:t>%。主要原因是</w:t>
      </w:r>
      <w:r>
        <w:rPr>
          <w:rFonts w:hint="eastAsia" w:ascii="Times New Roman" w:hAnsi="Times New Roman" w:eastAsia="仿宋_GB2312" w:cs="Times New Roman"/>
          <w:sz w:val="32"/>
          <w:szCs w:val="32"/>
          <w:lang w:val="en-US" w:eastAsia="zh-CN"/>
        </w:rPr>
        <w:t>上年我单位机构改革煤矿安全监管职能划转至应急管理部门，本年无煤矿</w:t>
      </w:r>
      <w:r>
        <w:rPr>
          <w:rFonts w:hint="eastAsia" w:eastAsia="仿宋_GB2312" w:cs="Times New Roman"/>
          <w:sz w:val="32"/>
          <w:szCs w:val="32"/>
          <w:lang w:val="en-US" w:eastAsia="zh-CN"/>
        </w:rPr>
        <w:t>安全相关</w:t>
      </w:r>
      <w:r>
        <w:rPr>
          <w:rFonts w:hint="default" w:ascii="Times New Roman" w:hAnsi="Times New Roman" w:eastAsia="仿宋_GB2312" w:cs="Times New Roman"/>
          <w:sz w:val="32"/>
          <w:szCs w:val="32"/>
          <w:lang w:val="en-US" w:eastAsia="zh-CN"/>
        </w:rPr>
        <w:t>项目经费</w:t>
      </w:r>
      <w:r>
        <w:rPr>
          <w:rFonts w:hint="eastAsia" w:ascii="Times New Roman" w:hAnsi="Times New Roman" w:eastAsia="仿宋_GB2312" w:cs="Times New Roman"/>
          <w:sz w:val="32"/>
          <w:szCs w:val="32"/>
          <w:lang w:val="en-US" w:eastAsia="zh-CN"/>
        </w:rPr>
        <w:t>，此外我单位不再适用灾害防治及应急管理支出科目，因此将科目调整为</w:t>
      </w:r>
      <w:r>
        <w:rPr>
          <w:rFonts w:hint="default" w:ascii="Times New Roman" w:hAnsi="Times New Roman" w:eastAsia="仿宋_GB2312" w:cs="Times New Roman"/>
          <w:sz w:val="32"/>
          <w:szCs w:val="32"/>
        </w:rPr>
        <w:t>节能环保支出</w:t>
      </w:r>
      <w:r>
        <w:rPr>
          <w:rFonts w:hint="eastAsia" w:ascii="Times New Roman" w:hAnsi="Times New Roman" w:eastAsia="仿宋_GB2312" w:cs="Times New Roman"/>
          <w:sz w:val="32"/>
          <w:szCs w:val="32"/>
          <w:lang w:val="en-US" w:eastAsia="zh-CN"/>
        </w:rPr>
        <w:t>科目</w:t>
      </w:r>
      <w:r>
        <w:rPr>
          <w:rFonts w:hint="eastAsia" w:ascii="Times New Roman" w:hAnsi="Times New Roman" w:eastAsia="仿宋_GB2312" w:cs="Times New Roman"/>
          <w:sz w:val="32"/>
          <w:szCs w:val="32"/>
          <w:lang w:eastAsia="zh-CN"/>
        </w:rPr>
        <w:t>。</w:t>
      </w:r>
    </w:p>
    <w:p w14:paraId="5C3741D9">
      <w:pPr>
        <w:pStyle w:val="2"/>
        <w:keepNext w:val="0"/>
        <w:keepLines w:val="0"/>
        <w:pageBreakBefore w:val="0"/>
        <w:widowControl w:val="0"/>
        <w:tabs>
          <w:tab w:val="left" w:pos="4112"/>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eastAsia="zh-CN"/>
        </w:rPr>
        <w:t>无此项内容</w:t>
      </w:r>
      <w:r>
        <w:rPr>
          <w:rFonts w:hint="default" w:ascii="Times New Roman" w:hAnsi="Times New Roman" w:eastAsia="仿宋_GB2312" w:cs="Times New Roman"/>
          <w:sz w:val="32"/>
          <w:szCs w:val="32"/>
        </w:rPr>
        <w:t>。</w:t>
      </w:r>
    </w:p>
    <w:p w14:paraId="4A9573A5">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二、收入预算情况说明</w:t>
      </w:r>
    </w:p>
    <w:p w14:paraId="3FAD80CC">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锡林郭勒盟能源局</w:t>
      </w:r>
      <w:r>
        <w:rPr>
          <w:rFonts w:hint="default" w:ascii="Times New Roman" w:hAnsi="Times New Roman" w:eastAsia="仿宋_GB2312" w:cs="Times New Roman"/>
          <w:sz w:val="32"/>
          <w:szCs w:val="32"/>
          <w:u w:val="single"/>
        </w:rPr>
        <w:t>部门</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年收入预算合计</w:t>
      </w:r>
      <w:r>
        <w:rPr>
          <w:rFonts w:hint="eastAsia" w:ascii="仿宋_GB2312" w:hAnsi="仿宋_GB2312" w:eastAsia="仿宋_GB2312" w:cs="仿宋_GB2312"/>
          <w:sz w:val="32"/>
          <w:szCs w:val="32"/>
          <w:u w:val="single"/>
          <w:lang w:val="en-US" w:eastAsia="zh-CN"/>
        </w:rPr>
        <w:t>1662.08</w:t>
      </w:r>
      <w:r>
        <w:rPr>
          <w:rFonts w:hint="default" w:ascii="Times New Roman" w:hAnsi="Times New Roman" w:eastAsia="仿宋_GB2312" w:cs="Times New Roman"/>
          <w:sz w:val="32"/>
          <w:szCs w:val="32"/>
        </w:rPr>
        <w:t>万元，包括本年收入</w:t>
      </w:r>
      <w:r>
        <w:rPr>
          <w:rFonts w:hint="eastAsia" w:eastAsia="仿宋_GB2312" w:cs="Times New Roman"/>
          <w:sz w:val="32"/>
          <w:szCs w:val="32"/>
          <w:u w:val="single"/>
          <w:lang w:val="en-US" w:eastAsia="zh-CN"/>
        </w:rPr>
        <w:t>1336.68</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325.39</w:t>
      </w:r>
      <w:r>
        <w:rPr>
          <w:rFonts w:hint="default" w:ascii="Times New Roman" w:hAnsi="Times New Roman" w:eastAsia="仿宋_GB2312" w:cs="Times New Roman"/>
          <w:sz w:val="32"/>
          <w:szCs w:val="32"/>
        </w:rPr>
        <w:t>万元。其中：</w:t>
      </w:r>
    </w:p>
    <w:p w14:paraId="74699927">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eastAsia="仿宋_GB2312" w:cs="Times New Roman"/>
          <w:sz w:val="32"/>
          <w:szCs w:val="32"/>
          <w:u w:val="single"/>
          <w:lang w:val="en-US" w:eastAsia="zh-CN"/>
        </w:rPr>
        <w:t>1336.68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80.42</w:t>
      </w:r>
      <w:r>
        <w:rPr>
          <w:rFonts w:hint="default" w:ascii="Times New Roman" w:hAnsi="Times New Roman" w:eastAsia="仿宋_GB2312" w:cs="Times New Roman"/>
          <w:sz w:val="32"/>
          <w:szCs w:val="32"/>
        </w:rPr>
        <w:t>%；</w:t>
      </w:r>
    </w:p>
    <w:p w14:paraId="14DBA12E">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51DB90B">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F87AD3D">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58FA503C">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AC94FC6">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1B27E79">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83B185D">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1D586DC">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5895842F">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325.39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19.58</w:t>
      </w:r>
      <w:r>
        <w:rPr>
          <w:rFonts w:hint="default" w:ascii="Times New Roman" w:hAnsi="Times New Roman" w:eastAsia="仿宋_GB2312" w:cs="Times New Roman"/>
          <w:sz w:val="32"/>
          <w:szCs w:val="32"/>
        </w:rPr>
        <w:t>%；</w:t>
      </w:r>
    </w:p>
    <w:p w14:paraId="2106A70B">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0048BDB6">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0F5BB852">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040F588">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rPr>
          <w:rFonts w:ascii="仿宋" w:hAnsi="仿宋" w:eastAsia="仿宋" w:cs="仿宋"/>
          <w:sz w:val="32"/>
          <w:szCs w:val="32"/>
          <w:highlight w:val="yellow"/>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770444E">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三、支出预算情况说明</w:t>
      </w:r>
    </w:p>
    <w:p w14:paraId="13687818">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锡林郭勒盟能源局</w:t>
      </w:r>
      <w:r>
        <w:rPr>
          <w:rFonts w:hint="default" w:ascii="Times New Roman" w:hAnsi="Times New Roman" w:eastAsia="仿宋_GB2312" w:cs="Times New Roman"/>
          <w:sz w:val="32"/>
          <w:szCs w:val="32"/>
          <w:u w:val="single"/>
        </w:rPr>
        <w:t>部门</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1662.08</w:t>
      </w:r>
      <w:r>
        <w:rPr>
          <w:rFonts w:hint="default" w:ascii="Times New Roman" w:hAnsi="Times New Roman" w:eastAsia="仿宋_GB2312" w:cs="Times New Roman"/>
          <w:sz w:val="32"/>
          <w:szCs w:val="32"/>
        </w:rPr>
        <w:t>万元，其中：</w:t>
      </w:r>
    </w:p>
    <w:p w14:paraId="0503A248">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721.68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43.42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FC2F5DA">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940.39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56.58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7652A34">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5B6029D">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DDB0CAC">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7888070">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四、财政拨款收支预算总体情况说明</w:t>
      </w:r>
    </w:p>
    <w:p w14:paraId="7FF20229">
      <w:pPr>
        <w:pStyle w:val="2"/>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锡林郭勒盟能源局</w:t>
      </w:r>
      <w:r>
        <w:rPr>
          <w:rFonts w:hint="default" w:ascii="Times New Roman" w:hAnsi="Times New Roman" w:eastAsia="仿宋_GB2312" w:cs="Times New Roman"/>
          <w:sz w:val="32"/>
          <w:szCs w:val="32"/>
          <w:u w:val="single"/>
        </w:rPr>
        <w:t>部门</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年度财政拨款收、支总预算</w:t>
      </w:r>
      <w:r>
        <w:rPr>
          <w:rFonts w:hint="eastAsia" w:ascii="仿宋_GB2312" w:hAnsi="仿宋_GB2312" w:eastAsia="仿宋_GB2312" w:cs="仿宋_GB2312"/>
          <w:sz w:val="32"/>
          <w:szCs w:val="32"/>
          <w:u w:val="single"/>
          <w:lang w:val="en-US" w:eastAsia="zh-CN"/>
        </w:rPr>
        <w:t>1662.08</w:t>
      </w:r>
      <w:r>
        <w:rPr>
          <w:rFonts w:hint="default" w:ascii="Times New Roman" w:hAnsi="Times New Roman" w:eastAsia="仿宋_GB2312" w:cs="Times New Roman"/>
          <w:sz w:val="32"/>
          <w:szCs w:val="32"/>
        </w:rPr>
        <w:t>万元。与上年相比，财政拨款收、支总计各</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u w:val="single"/>
          <w:lang w:val="en-US" w:eastAsia="zh-CN"/>
        </w:rPr>
        <w:t>1182.16</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41.56</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机构改革煤矿安全监管职能划转，本年无煤矿安全相关的项目经费，此外，原二级事业单位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sz w:val="32"/>
          <w:szCs w:val="32"/>
        </w:rPr>
        <w:t>财政拨款收、支总预算</w:t>
      </w:r>
      <w:r>
        <w:rPr>
          <w:rFonts w:hint="eastAsia" w:ascii="Times New Roman" w:hAnsi="Times New Roman" w:eastAsia="仿宋_GB2312" w:cs="Times New Roman"/>
          <w:sz w:val="32"/>
          <w:szCs w:val="32"/>
          <w:lang w:val="en-US" w:eastAsia="zh-CN"/>
        </w:rPr>
        <w:t>较上年减少</w:t>
      </w:r>
      <w:r>
        <w:rPr>
          <w:rFonts w:hint="eastAsia" w:eastAsia="仿宋_GB2312" w:cs="Times New Roman"/>
          <w:sz w:val="32"/>
          <w:szCs w:val="32"/>
          <w:lang w:val="en-US" w:eastAsia="zh-CN"/>
        </w:rPr>
        <w:t>。</w:t>
      </w:r>
    </w:p>
    <w:p w14:paraId="504329DD">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五、一般公共预算支出预算情况说明</w:t>
      </w:r>
    </w:p>
    <w:p w14:paraId="2DA2B264">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lang w:val="en-US"/>
        </w:rPr>
      </w:pPr>
      <w:r>
        <w:rPr>
          <w:rFonts w:hint="eastAsia" w:eastAsia="仿宋_GB2312" w:cs="Times New Roman"/>
          <w:sz w:val="32"/>
          <w:szCs w:val="32"/>
          <w:u w:val="single"/>
          <w:lang w:eastAsia="zh-CN"/>
        </w:rPr>
        <w:t>锡林郭勒盟能源局</w:t>
      </w:r>
      <w:r>
        <w:rPr>
          <w:rFonts w:hint="default" w:ascii="Times New Roman" w:hAnsi="Times New Roman" w:eastAsia="仿宋_GB2312" w:cs="Times New Roman"/>
          <w:sz w:val="32"/>
          <w:szCs w:val="32"/>
          <w:u w:val="single"/>
        </w:rPr>
        <w:t>部门</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1662.08</w:t>
      </w:r>
      <w:r>
        <w:rPr>
          <w:rFonts w:hint="default" w:ascii="Times New Roman" w:hAnsi="Times New Roman" w:eastAsia="仿宋_GB2312" w:cs="Times New Roman"/>
          <w:sz w:val="32"/>
          <w:szCs w:val="32"/>
        </w:rPr>
        <w:t>万元，与上年相比减少</w:t>
      </w:r>
      <w:r>
        <w:rPr>
          <w:rFonts w:hint="eastAsia" w:ascii="仿宋_GB2312" w:hAnsi="仿宋_GB2312" w:eastAsia="仿宋_GB2312" w:cs="仿宋_GB2312"/>
          <w:sz w:val="32"/>
          <w:szCs w:val="32"/>
          <w:u w:val="single"/>
          <w:lang w:val="en-US" w:eastAsia="zh-CN"/>
        </w:rPr>
        <w:t>1182.16</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rPr>
        <w:t>万元，减少</w:t>
      </w:r>
      <w:r>
        <w:rPr>
          <w:rFonts w:hint="eastAsia" w:ascii="仿宋_GB2312" w:hAnsi="仿宋_GB2312" w:eastAsia="仿宋_GB2312" w:cs="仿宋_GB2312"/>
          <w:sz w:val="32"/>
          <w:szCs w:val="32"/>
          <w:u w:val="single"/>
          <w:lang w:val="en-US" w:eastAsia="zh-CN"/>
        </w:rPr>
        <w:t>41.56</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机构改革煤矿安全监管职能划转，本年无煤矿安全相关的项目经费，此外，原二级事业单位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锡林郭勒盟能源管理综合行政执法支队14人转隶至本部门外的其他单位，因此本年一般公共预算支出较上年减少。</w:t>
      </w:r>
    </w:p>
    <w:p w14:paraId="4CA5C20C">
      <w:pPr>
        <w:pStyle w:val="2"/>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（一）一般公共服务</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类</w:t>
      </w:r>
      <w:r>
        <w:rPr>
          <w:rFonts w:hint="eastAsia" w:ascii="楷体" w:hAnsi="楷体" w:eastAsia="楷体" w:cs="楷体"/>
          <w:b/>
          <w:bCs/>
          <w:color w:val="auto"/>
          <w:sz w:val="32"/>
          <w:szCs w:val="32"/>
          <w:lang w:eastAsia="zh-CN"/>
        </w:rPr>
        <w:t>）</w:t>
      </w:r>
    </w:p>
    <w:p w14:paraId="0557AD87">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楷体" w:hAnsi="楷体" w:eastAsia="楷体" w:cs="楷体"/>
          <w:b/>
          <w:bCs/>
          <w:color w:val="0000FF"/>
          <w:sz w:val="32"/>
          <w:szCs w:val="32"/>
        </w:rPr>
      </w:pPr>
      <w:r>
        <w:rPr>
          <w:rFonts w:hint="eastAsia" w:ascii="Times New Roman" w:hAnsi="Times New Roman" w:eastAsia="仿宋_GB2312" w:cs="Times New Roman"/>
          <w:sz w:val="32"/>
          <w:szCs w:val="32"/>
          <w:lang w:val="en-US" w:eastAsia="zh-CN"/>
        </w:rPr>
        <w:t>1.商贸事务（款）招商引资（项）。</w:t>
      </w:r>
      <w:r>
        <w:rPr>
          <w:rFonts w:hint="default" w:ascii="Times New Roman" w:hAnsi="Times New Roman" w:eastAsia="仿宋_GB2312" w:cs="Times New Roman"/>
          <w:sz w:val="32"/>
          <w:szCs w:val="32"/>
        </w:rPr>
        <w:t>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17.17</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17.17</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val="en-US" w:eastAsia="zh-CN"/>
        </w:rPr>
        <w:t>上年结转的</w:t>
      </w:r>
      <w:r>
        <w:rPr>
          <w:rFonts w:hint="default" w:ascii="Times New Roman" w:hAnsi="Times New Roman" w:eastAsia="仿宋_GB2312" w:cs="Times New Roman"/>
          <w:color w:val="auto"/>
          <w:sz w:val="32"/>
          <w:szCs w:val="32"/>
        </w:rPr>
        <w:t>招商引资工作经费</w:t>
      </w:r>
      <w:r>
        <w:rPr>
          <w:rFonts w:hint="eastAsia" w:ascii="Times New Roman" w:hAnsi="Times New Roman" w:eastAsia="仿宋_GB2312" w:cs="Times New Roman"/>
          <w:color w:val="auto"/>
          <w:sz w:val="32"/>
          <w:szCs w:val="32"/>
          <w:lang w:val="en-US" w:eastAsia="zh-CN"/>
        </w:rPr>
        <w:t>17.17万元</w:t>
      </w:r>
      <w:r>
        <w:rPr>
          <w:rFonts w:hint="default" w:ascii="Times New Roman" w:hAnsi="Times New Roman" w:eastAsia="仿宋_GB2312" w:cs="Times New Roman"/>
          <w:color w:val="auto"/>
          <w:sz w:val="32"/>
          <w:szCs w:val="32"/>
        </w:rPr>
        <w:t>。</w:t>
      </w:r>
    </w:p>
    <w:p w14:paraId="76FEDEAA">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楷体" w:hAnsi="楷体" w:eastAsia="楷体" w:cs="楷体"/>
          <w:b/>
          <w:bCs/>
          <w:color w:val="0000FF"/>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.发展与改革事务（款）一般行政管理事务（项）。年初预算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23.61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u w:val="single"/>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val="en-US" w:eastAsia="zh-CN"/>
        </w:rPr>
        <w:t>上年项目为</w:t>
      </w:r>
      <w:r>
        <w:rPr>
          <w:rFonts w:hint="default" w:ascii="Times New Roman" w:hAnsi="Times New Roman" w:eastAsia="仿宋_GB2312" w:cs="Times New Roman"/>
          <w:color w:val="auto"/>
          <w:sz w:val="32"/>
          <w:szCs w:val="32"/>
        </w:rPr>
        <w:t>盟本级招商引资工作经费</w:t>
      </w:r>
      <w:r>
        <w:rPr>
          <w:rFonts w:hint="eastAsia" w:ascii="Times New Roman" w:hAnsi="Times New Roman" w:eastAsia="仿宋_GB2312" w:cs="Times New Roman"/>
          <w:color w:val="auto"/>
          <w:sz w:val="32"/>
          <w:szCs w:val="32"/>
          <w:lang w:val="en-US" w:eastAsia="zh-CN"/>
        </w:rPr>
        <w:t>23.61万元，本年无此项目</w:t>
      </w:r>
      <w:r>
        <w:rPr>
          <w:rFonts w:hint="default" w:ascii="Times New Roman" w:hAnsi="Times New Roman" w:eastAsia="仿宋_GB2312" w:cs="Times New Roman"/>
          <w:color w:val="auto"/>
          <w:sz w:val="32"/>
          <w:szCs w:val="32"/>
        </w:rPr>
        <w:t>。</w:t>
      </w:r>
    </w:p>
    <w:p w14:paraId="413AC59C">
      <w:pPr>
        <w:pStyle w:val="2"/>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）社会保障和就业（类）</w:t>
      </w:r>
    </w:p>
    <w:p w14:paraId="39669D96">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1.行政事业单位养老（款）</w:t>
      </w:r>
      <w:r>
        <w:rPr>
          <w:rFonts w:hint="eastAsia" w:eastAsia="仿宋_GB2312" w:cs="Times New Roman"/>
          <w:sz w:val="32"/>
          <w:szCs w:val="32"/>
          <w:lang w:eastAsia="zh-CN"/>
        </w:rPr>
        <w:t>行政</w:t>
      </w:r>
      <w:r>
        <w:rPr>
          <w:rFonts w:hint="default" w:ascii="Times New Roman" w:hAnsi="Times New Roman" w:eastAsia="仿宋_GB2312" w:cs="Times New Roman"/>
          <w:sz w:val="32"/>
          <w:szCs w:val="32"/>
        </w:rPr>
        <w:t>单位离退休（项）。年初预算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3.53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1.65</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88.07</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val="en-US" w:eastAsia="zh-CN"/>
        </w:rPr>
        <w:t>本年退休职工增加2人（机构改革原综合执法支队转入1人、2024年10月退休1人）</w:t>
      </w:r>
      <w:r>
        <w:rPr>
          <w:rFonts w:hint="default" w:ascii="Times New Roman" w:hAnsi="Times New Roman" w:eastAsia="仿宋_GB2312" w:cs="Times New Roman"/>
          <w:color w:val="auto"/>
          <w:sz w:val="32"/>
          <w:szCs w:val="32"/>
        </w:rPr>
        <w:t>。</w:t>
      </w:r>
    </w:p>
    <w:p w14:paraId="0B4FAE8F">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行政事业单位养老（款）事业单位离退休（项）。年初预算</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u w:val="single"/>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val="en-US" w:eastAsia="zh-CN"/>
        </w:rPr>
        <w:t>原二级单位综合执法支队退休人员机构改革撤销时转入能源局本级</w:t>
      </w:r>
      <w:r>
        <w:rPr>
          <w:rFonts w:hint="default" w:ascii="Times New Roman" w:hAnsi="Times New Roman" w:eastAsia="仿宋_GB2312" w:cs="Times New Roman"/>
          <w:color w:val="auto"/>
          <w:sz w:val="32"/>
          <w:szCs w:val="32"/>
        </w:rPr>
        <w:t>。</w:t>
      </w:r>
    </w:p>
    <w:p w14:paraId="76C4B3E7">
      <w:pPr>
        <w:pStyle w:val="2"/>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.行政事业单位养老（款）机关事业单位基本养老保险缴费（项）。年初预算</w:t>
      </w:r>
      <w:r>
        <w:rPr>
          <w:rFonts w:hint="eastAsia" w:eastAsia="仿宋_GB2312" w:cs="Times New Roman"/>
          <w:sz w:val="32"/>
          <w:szCs w:val="32"/>
          <w:u w:val="single"/>
          <w:lang w:val="en-US" w:eastAsia="zh-CN"/>
        </w:rPr>
        <w:t>54.95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18.92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ascii="Times New Roman" w:hAnsi="Times New Roman" w:eastAsia="仿宋_GB2312" w:cs="Times New Roman"/>
          <w:sz w:val="32"/>
          <w:szCs w:val="32"/>
          <w:u w:val="single"/>
          <w:lang w:val="en-US" w:eastAsia="zh-CN"/>
        </w:rPr>
        <w:t>25.61</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机构改革煤矿安全监管职能划转，我部门原二级事业单位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color w:val="auto"/>
          <w:sz w:val="32"/>
          <w:szCs w:val="32"/>
        </w:rPr>
        <w:t>社</w:t>
      </w:r>
      <w:r>
        <w:rPr>
          <w:rFonts w:hint="default" w:ascii="Times New Roman" w:hAnsi="Times New Roman" w:eastAsia="仿宋_GB2312" w:cs="Times New Roman"/>
          <w:sz w:val="32"/>
          <w:szCs w:val="32"/>
        </w:rPr>
        <w:t>会保障和就业支出</w:t>
      </w:r>
      <w:r>
        <w:rPr>
          <w:rFonts w:hint="eastAsia" w:ascii="Times New Roman" w:hAnsi="Times New Roman" w:eastAsia="仿宋_GB2312" w:cs="Times New Roman"/>
          <w:sz w:val="32"/>
          <w:szCs w:val="32"/>
          <w:lang w:val="en-US" w:eastAsia="zh-CN"/>
        </w:rPr>
        <w:t>较上年减少</w:t>
      </w:r>
      <w:r>
        <w:rPr>
          <w:rFonts w:hint="eastAsia" w:eastAsia="仿宋_GB2312" w:cs="Times New Roman"/>
          <w:sz w:val="32"/>
          <w:szCs w:val="32"/>
          <w:lang w:val="en-US" w:eastAsia="zh-CN"/>
        </w:rPr>
        <w:t>。</w:t>
      </w:r>
    </w:p>
    <w:p w14:paraId="5DA721EB">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.行政事业单位养老（款）机关事业单位职业年金缴费支出（项）。年初预算</w:t>
      </w:r>
      <w:r>
        <w:rPr>
          <w:rFonts w:hint="eastAsia" w:ascii="Times New Roman" w:hAnsi="Times New Roman"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u w:val="single"/>
          <w:lang w:val="en-US" w:eastAsia="zh-CN"/>
        </w:rPr>
        <w:t>13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100</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eastAsia="zh-CN"/>
        </w:rPr>
        <w:t>：本年</w:t>
      </w:r>
      <w:r>
        <w:rPr>
          <w:rFonts w:hint="eastAsia" w:ascii="Times New Roman" w:hAnsi="Times New Roman" w:eastAsia="仿宋_GB2312" w:cs="Times New Roman"/>
          <w:sz w:val="32"/>
          <w:szCs w:val="32"/>
          <w:lang w:val="en-US" w:eastAsia="zh-CN"/>
        </w:rPr>
        <w:t>预算未</w:t>
      </w:r>
      <w:r>
        <w:rPr>
          <w:rFonts w:hint="eastAsia" w:ascii="Times New Roman" w:hAnsi="Times New Roman" w:eastAsia="仿宋_GB2312" w:cs="Times New Roman"/>
          <w:sz w:val="32"/>
          <w:szCs w:val="32"/>
          <w:lang w:eastAsia="zh-CN"/>
        </w:rPr>
        <w:t>申请职业年金</w:t>
      </w:r>
      <w:r>
        <w:rPr>
          <w:rFonts w:hint="eastAsia" w:ascii="Times New Roman" w:hAnsi="Times New Roman" w:eastAsia="仿宋_GB2312" w:cs="Times New Roman"/>
          <w:sz w:val="32"/>
          <w:szCs w:val="32"/>
          <w:lang w:val="en-US" w:eastAsia="zh-CN"/>
        </w:rPr>
        <w:t>做实资金</w:t>
      </w:r>
      <w:r>
        <w:rPr>
          <w:rFonts w:hint="default" w:ascii="Times New Roman" w:hAnsi="Times New Roman" w:eastAsia="仿宋_GB2312" w:cs="Times New Roman"/>
          <w:sz w:val="32"/>
          <w:szCs w:val="32"/>
        </w:rPr>
        <w:t>。</w:t>
      </w:r>
    </w:p>
    <w:p w14:paraId="3C92A6A8">
      <w:pPr>
        <w:pStyle w:val="2"/>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）卫生健康（类）</w:t>
      </w:r>
    </w:p>
    <w:p w14:paraId="401AFFC8">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．行政事业单位医疗（款）</w:t>
      </w:r>
      <w:r>
        <w:rPr>
          <w:rFonts w:hint="eastAsia" w:eastAsia="仿宋_GB2312" w:cs="Times New Roman"/>
          <w:sz w:val="32"/>
          <w:szCs w:val="32"/>
          <w:lang w:eastAsia="zh-CN"/>
        </w:rPr>
        <w:t>行政</w:t>
      </w:r>
      <w:r>
        <w:rPr>
          <w:rFonts w:hint="default" w:ascii="Times New Roman" w:hAnsi="Times New Roman" w:eastAsia="仿宋_GB2312" w:cs="Times New Roman"/>
          <w:sz w:val="32"/>
          <w:szCs w:val="32"/>
        </w:rPr>
        <w:t>单位医疗（项）。年初预算</w:t>
      </w:r>
      <w:r>
        <w:rPr>
          <w:rFonts w:hint="eastAsia" w:eastAsia="仿宋_GB2312" w:cs="Times New Roman"/>
          <w:sz w:val="32"/>
          <w:szCs w:val="32"/>
          <w:u w:val="single"/>
          <w:lang w:val="en-US" w:eastAsia="zh-CN"/>
        </w:rPr>
        <w:t>8.12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0.64</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7.32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本年人员</w:t>
      </w:r>
      <w:r>
        <w:rPr>
          <w:rFonts w:hint="eastAsia" w:eastAsia="仿宋_GB2312" w:cs="Times New Roman"/>
          <w:sz w:val="32"/>
          <w:szCs w:val="32"/>
          <w:lang w:val="en-US" w:eastAsia="zh-CN"/>
        </w:rPr>
        <w:t>有变动基数变动</w:t>
      </w:r>
      <w:r>
        <w:rPr>
          <w:rFonts w:hint="eastAsia" w:eastAsia="仿宋_GB2312" w:cs="Times New Roman"/>
          <w:sz w:val="32"/>
          <w:szCs w:val="32"/>
          <w:lang w:eastAsia="zh-CN"/>
        </w:rPr>
        <w:t>，医疗保险缴费减少</w:t>
      </w:r>
      <w:r>
        <w:rPr>
          <w:rFonts w:hint="default" w:ascii="Times New Roman" w:hAnsi="Times New Roman" w:eastAsia="仿宋_GB2312" w:cs="Times New Roman"/>
          <w:sz w:val="32"/>
          <w:szCs w:val="32"/>
        </w:rPr>
        <w:t>。</w:t>
      </w:r>
    </w:p>
    <w:p w14:paraId="4B498CC2">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行政事业单位医疗（款）事业单位医疗（项）。年初预算</w:t>
      </w:r>
      <w:r>
        <w:rPr>
          <w:rFonts w:hint="eastAsia" w:eastAsia="仿宋_GB2312" w:cs="Times New Roman"/>
          <w:sz w:val="32"/>
          <w:szCs w:val="32"/>
          <w:u w:val="single"/>
          <w:lang w:val="en-US" w:eastAsia="zh-CN"/>
        </w:rPr>
        <w:t>12.65</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u w:val="single"/>
          <w:lang w:val="en-US" w:eastAsia="zh-CN"/>
        </w:rPr>
        <w:t>8.84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u w:val="single"/>
          <w:lang w:val="en-US" w:eastAsia="zh-CN"/>
        </w:rPr>
        <w:t>41.13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机构改革煤矿安全监管职能划转，我部门原二级事业单位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sz w:val="32"/>
          <w:szCs w:val="32"/>
        </w:rPr>
        <w:t>事业单位医疗</w:t>
      </w:r>
      <w:r>
        <w:rPr>
          <w:rFonts w:hint="eastAsia" w:ascii="Times New Roman" w:hAnsi="Times New Roman" w:eastAsia="仿宋_GB2312" w:cs="Times New Roman"/>
          <w:sz w:val="32"/>
          <w:szCs w:val="32"/>
          <w:lang w:val="en-US" w:eastAsia="zh-CN"/>
        </w:rPr>
        <w:t>较上年减少</w:t>
      </w:r>
      <w:r>
        <w:rPr>
          <w:rFonts w:hint="default" w:ascii="Times New Roman" w:hAnsi="Times New Roman" w:eastAsia="仿宋_GB2312" w:cs="Times New Roman"/>
          <w:sz w:val="32"/>
          <w:szCs w:val="32"/>
        </w:rPr>
        <w:t>。</w:t>
      </w:r>
    </w:p>
    <w:p w14:paraId="01AAC90D">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行政事业单位医疗（款）公务员医疗补助（项）。年初预算</w:t>
      </w:r>
      <w:r>
        <w:rPr>
          <w:rFonts w:hint="eastAsia" w:eastAsia="仿宋_GB2312" w:cs="Times New Roman"/>
          <w:sz w:val="32"/>
          <w:szCs w:val="32"/>
          <w:u w:val="single"/>
          <w:lang w:val="en-US" w:eastAsia="zh-CN"/>
        </w:rPr>
        <w:t>3.6</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0.66</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15.6</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机构改革煤矿安全监管职能划转，我部门原二级事业单位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sz w:val="32"/>
          <w:szCs w:val="32"/>
        </w:rPr>
        <w:t>公务员医疗补助</w:t>
      </w:r>
      <w:r>
        <w:rPr>
          <w:rFonts w:hint="eastAsia" w:ascii="Times New Roman" w:hAnsi="Times New Roman" w:eastAsia="仿宋_GB2312" w:cs="Times New Roman"/>
          <w:sz w:val="32"/>
          <w:szCs w:val="32"/>
          <w:lang w:eastAsia="zh-CN"/>
        </w:rPr>
        <w:t>缴费</w:t>
      </w:r>
      <w:r>
        <w:rPr>
          <w:rFonts w:hint="eastAsia" w:eastAsia="仿宋_GB2312" w:cs="Times New Roman"/>
          <w:sz w:val="32"/>
          <w:szCs w:val="32"/>
          <w:lang w:eastAsia="zh-CN"/>
        </w:rPr>
        <w:t>减少。</w:t>
      </w:r>
    </w:p>
    <w:p w14:paraId="30DAD7DA">
      <w:pPr>
        <w:pStyle w:val="2"/>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）节能环保（类）</w:t>
      </w:r>
    </w:p>
    <w:p w14:paraId="25033D03">
      <w:pPr>
        <w:pStyle w:val="2"/>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1.能源管理事务（款）行政运行（项）。年初预算</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280.07</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eastAsia="zh-CN"/>
        </w:rPr>
        <w:t>减少</w:t>
      </w:r>
      <w:r>
        <w:rPr>
          <w:rFonts w:hint="eastAsia" w:ascii="仿宋_GB2312" w:eastAsia="仿宋_GB2312"/>
          <w:color w:val="auto"/>
          <w:sz w:val="32"/>
          <w:szCs w:val="32"/>
          <w:u w:val="single"/>
          <w:lang w:val="en-US" w:eastAsia="zh-CN"/>
        </w:rPr>
        <w:t>1.54</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减少</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0.55</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eastAsia="zh-CN"/>
        </w:rPr>
        <w:t>人员</w:t>
      </w:r>
      <w:r>
        <w:rPr>
          <w:rFonts w:hint="eastAsia" w:ascii="Times New Roman" w:hAnsi="Times New Roman" w:eastAsia="仿宋_GB2312" w:cs="Times New Roman"/>
          <w:color w:val="auto"/>
          <w:sz w:val="32"/>
          <w:szCs w:val="32"/>
          <w:lang w:val="en-US" w:eastAsia="zh-CN"/>
        </w:rPr>
        <w:t>有变动，</w:t>
      </w:r>
      <w:r>
        <w:rPr>
          <w:rFonts w:hint="eastAsia" w:ascii="Times New Roman" w:hAnsi="Times New Roman" w:eastAsia="仿宋_GB2312" w:cs="Times New Roman"/>
          <w:color w:val="auto"/>
          <w:sz w:val="32"/>
          <w:szCs w:val="32"/>
          <w:lang w:eastAsia="zh-CN"/>
        </w:rPr>
        <w:t>使人员经费有所减少</w:t>
      </w:r>
      <w:r>
        <w:rPr>
          <w:rFonts w:hint="eastAsia" w:ascii="Times New Roman" w:hAnsi="Times New Roman" w:eastAsia="仿宋_GB2312" w:cs="Times New Roman"/>
          <w:color w:val="auto"/>
          <w:sz w:val="32"/>
          <w:szCs w:val="32"/>
          <w:lang w:val="en-US" w:eastAsia="zh-CN"/>
        </w:rPr>
        <w:t>。</w:t>
      </w:r>
    </w:p>
    <w:p w14:paraId="68841B5B">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能源管理事务（款）</w:t>
      </w:r>
      <w:r>
        <w:rPr>
          <w:rFonts w:hint="eastAsia" w:eastAsia="仿宋_GB2312" w:cs="Times New Roman"/>
          <w:sz w:val="32"/>
          <w:szCs w:val="32"/>
          <w:lang w:eastAsia="zh-CN"/>
        </w:rPr>
        <w:t>机关服务</w:t>
      </w:r>
      <w:r>
        <w:rPr>
          <w:rFonts w:hint="default" w:ascii="Times New Roman" w:hAnsi="Times New Roman" w:eastAsia="仿宋_GB2312" w:cs="Times New Roman"/>
          <w:sz w:val="32"/>
          <w:szCs w:val="32"/>
        </w:rPr>
        <w:t>（项）。年初预算</w:t>
      </w:r>
      <w:r>
        <w:rPr>
          <w:rFonts w:hint="eastAsia" w:eastAsia="仿宋_GB2312" w:cs="Times New Roman"/>
          <w:sz w:val="32"/>
          <w:szCs w:val="32"/>
          <w:u w:val="single"/>
          <w:lang w:val="en-US" w:eastAsia="zh-CN"/>
        </w:rPr>
        <w:t>287.44</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123.55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75.38</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val="en-US" w:eastAsia="zh-CN"/>
        </w:rPr>
        <w:t>2024年机构改革从锡林郭勒盟能源管理综合行政执法支队转隶11人至我单位、新进2名人才引进人员</w:t>
      </w:r>
      <w:r>
        <w:rPr>
          <w:rFonts w:hint="eastAsia" w:eastAsia="仿宋_GB2312" w:cs="Times New Roman"/>
          <w:sz w:val="32"/>
          <w:szCs w:val="32"/>
          <w:lang w:eastAsia="zh-CN"/>
        </w:rPr>
        <w:t>，</w:t>
      </w:r>
      <w:r>
        <w:rPr>
          <w:rFonts w:hint="eastAsia" w:eastAsia="仿宋_GB2312"/>
          <w:sz w:val="32"/>
          <w:szCs w:val="32"/>
          <w:lang w:val="en-US" w:eastAsia="zh-CN"/>
        </w:rPr>
        <w:t>人员增加</w:t>
      </w:r>
      <w:r>
        <w:rPr>
          <w:rFonts w:hint="eastAsia" w:ascii="Times New Roman" w:hAnsi="Times New Roman" w:eastAsia="仿宋_GB2312" w:cs="Times New Roman"/>
          <w:sz w:val="32"/>
          <w:szCs w:val="32"/>
          <w:lang w:eastAsia="zh-CN"/>
        </w:rPr>
        <w:t>工资</w:t>
      </w:r>
      <w:r>
        <w:rPr>
          <w:rFonts w:hint="eastAsia"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rPr>
        <w:t>。</w:t>
      </w:r>
    </w:p>
    <w:p w14:paraId="3B4AF57F">
      <w:pPr>
        <w:pStyle w:val="2"/>
        <w:keepNext w:val="0"/>
        <w:keepLines w:val="0"/>
        <w:pageBreakBefore w:val="0"/>
        <w:widowControl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default"/>
          <w:color w:val="auto"/>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能源管理事务（款）能源行业管理（项）。年初预算</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900.55</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val="en-US" w:eastAsia="zh-CN"/>
        </w:rPr>
        <w:t>增加</w:t>
      </w:r>
      <w:r>
        <w:rPr>
          <w:rFonts w:hint="eastAsia" w:ascii="仿宋_GB2312" w:eastAsia="仿宋_GB2312"/>
          <w:color w:val="auto"/>
          <w:sz w:val="32"/>
          <w:szCs w:val="32"/>
          <w:u w:val="single"/>
          <w:lang w:val="en-US" w:eastAsia="zh-CN"/>
        </w:rPr>
        <w:t>436.57</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增长</w:t>
      </w:r>
      <w:r>
        <w:rPr>
          <w:rFonts w:hint="eastAsia" w:eastAsia="仿宋_GB2312" w:cs="Times New Roman"/>
          <w:color w:val="auto"/>
          <w:sz w:val="32"/>
          <w:szCs w:val="32"/>
          <w:u w:val="single"/>
          <w:lang w:val="en-US" w:eastAsia="zh-CN"/>
        </w:rPr>
        <w:t>94.09</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sz w:val="32"/>
          <w:szCs w:val="32"/>
          <w:lang w:val="en-US" w:eastAsia="zh-CN"/>
        </w:rPr>
        <w:t>上年我单位涉及安全的项目支出主要在灾害防治及应急管理支出中，由于2024年机构改革煤矿安全监管职能划转至应急部门，我单位不再适用灾害防治及应急管理支出科目，因此将项目支出科目调整为</w:t>
      </w:r>
      <w:r>
        <w:rPr>
          <w:rFonts w:hint="default" w:ascii="Times New Roman" w:hAnsi="Times New Roman" w:eastAsia="仿宋_GB2312" w:cs="Times New Roman"/>
          <w:color w:val="auto"/>
          <w:sz w:val="32"/>
          <w:szCs w:val="32"/>
        </w:rPr>
        <w:t>能源行业管理</w:t>
      </w:r>
      <w:r>
        <w:rPr>
          <w:rFonts w:hint="eastAsia" w:ascii="Times New Roman" w:hAnsi="Times New Roman" w:eastAsia="仿宋_GB2312" w:cs="Times New Roman"/>
          <w:sz w:val="32"/>
          <w:szCs w:val="32"/>
          <w:lang w:val="en-US" w:eastAsia="zh-CN"/>
        </w:rPr>
        <w:t>科目</w:t>
      </w:r>
      <w:r>
        <w:rPr>
          <w:rFonts w:hint="eastAsia" w:eastAsia="仿宋_GB2312" w:cs="Times New Roman"/>
          <w:color w:val="auto"/>
          <w:sz w:val="32"/>
          <w:szCs w:val="32"/>
          <w:lang w:val="en-US" w:eastAsia="zh-CN"/>
        </w:rPr>
        <w:t>。</w:t>
      </w:r>
    </w:p>
    <w:p w14:paraId="57BC7B56">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能源管理事务（款）事业运行（项）。年初预算</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304.67</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val="en-US" w:eastAsia="zh-CN"/>
        </w:rPr>
        <w:t>2024年4月锡林郭勒盟能源管理综合行政执法支队机构改革已撤销。</w:t>
      </w:r>
      <w:r>
        <w:rPr>
          <w:rFonts w:hint="eastAsia" w:ascii="Times New Roman" w:hAnsi="Times New Roman" w:eastAsia="仿宋_GB2312" w:cs="Times New Roman"/>
          <w:sz w:val="32"/>
          <w:szCs w:val="32"/>
          <w:lang w:val="en-US" w:eastAsia="zh-CN"/>
        </w:rPr>
        <w:tab/>
      </w:r>
    </w:p>
    <w:p w14:paraId="657F51C6">
      <w:pPr>
        <w:pStyle w:val="2"/>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五</w:t>
      </w:r>
      <w:r>
        <w:rPr>
          <w:rFonts w:hint="eastAsia" w:ascii="楷体" w:hAnsi="楷体" w:eastAsia="楷体" w:cs="楷体"/>
          <w:b/>
          <w:bCs/>
          <w:color w:val="auto"/>
          <w:sz w:val="32"/>
          <w:szCs w:val="32"/>
        </w:rPr>
        <w:t>）住房保障（类）</w:t>
      </w:r>
    </w:p>
    <w:p w14:paraId="24C9F582">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1．住房改革（款）住房公积金（项）。年初预算</w:t>
      </w:r>
      <w:r>
        <w:rPr>
          <w:rFonts w:hint="eastAsia" w:eastAsia="仿宋_GB2312" w:cs="Times New Roman"/>
          <w:color w:val="auto"/>
          <w:sz w:val="32"/>
          <w:szCs w:val="32"/>
          <w:u w:val="single"/>
          <w:lang w:val="en-US" w:eastAsia="zh-CN"/>
        </w:rPr>
        <w:t>55.67</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eastAsia="zh-CN"/>
        </w:rPr>
        <w:t>减少</w:t>
      </w:r>
      <w:r>
        <w:rPr>
          <w:rFonts w:hint="eastAsia" w:eastAsia="仿宋_GB2312" w:cs="Times New Roman"/>
          <w:color w:val="auto"/>
          <w:sz w:val="32"/>
          <w:szCs w:val="32"/>
          <w:u w:val="single"/>
          <w:lang w:val="en-US" w:eastAsia="zh-CN"/>
        </w:rPr>
        <w:t>14.75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减少</w:t>
      </w:r>
      <w:r>
        <w:rPr>
          <w:rFonts w:hint="eastAsia" w:eastAsia="仿宋_GB2312" w:cs="Times New Roman"/>
          <w:color w:val="auto"/>
          <w:sz w:val="32"/>
          <w:szCs w:val="32"/>
          <w:u w:val="single"/>
          <w:lang w:val="en-US" w:eastAsia="zh-CN"/>
        </w:rPr>
        <w:t>20.94</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机构改革煤矿安全监管职能划转，我部门原二级事业单位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sz w:val="32"/>
          <w:szCs w:val="32"/>
          <w:lang w:val="en-US" w:eastAsia="zh-CN"/>
        </w:rPr>
        <w:t>住房公积金</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lang w:val="en-US" w:eastAsia="zh-CN"/>
        </w:rPr>
        <w:t>。</w:t>
      </w:r>
    </w:p>
    <w:p w14:paraId="578940E4">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．住房改革（款）购房补贴（项）。年初预算</w:t>
      </w:r>
      <w:r>
        <w:rPr>
          <w:rFonts w:hint="eastAsia" w:eastAsia="仿宋_GB2312" w:cs="Times New Roman"/>
          <w:color w:val="auto"/>
          <w:sz w:val="32"/>
          <w:szCs w:val="32"/>
          <w:u w:val="single"/>
          <w:lang w:val="en-US" w:eastAsia="zh-CN"/>
        </w:rPr>
        <w:t>15.65</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val="en-US" w:eastAsia="zh-CN"/>
        </w:rPr>
        <w:t>减少</w:t>
      </w:r>
      <w:r>
        <w:rPr>
          <w:rFonts w:hint="eastAsia" w:eastAsia="仿宋_GB2312" w:cs="Times New Roman"/>
          <w:color w:val="auto"/>
          <w:sz w:val="32"/>
          <w:szCs w:val="32"/>
          <w:u w:val="single"/>
          <w:lang w:val="en-US" w:eastAsia="zh-CN"/>
        </w:rPr>
        <w:t>17.83</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减少</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53.26</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sz w:val="32"/>
          <w:szCs w:val="32"/>
          <w:lang w:val="en-US" w:eastAsia="zh-CN"/>
        </w:rPr>
        <w:t>2024年4月</w:t>
      </w:r>
      <w:r>
        <w:rPr>
          <w:rFonts w:hint="eastAsia" w:eastAsia="仿宋_GB2312" w:cs="Times New Roman"/>
          <w:sz w:val="32"/>
          <w:szCs w:val="32"/>
          <w:lang w:val="en-US" w:eastAsia="zh-CN"/>
        </w:rPr>
        <w:t>机构改革煤矿安全监管职能划转，我部门原二级事业单位</w:t>
      </w:r>
      <w:r>
        <w:rPr>
          <w:rFonts w:hint="eastAsia" w:ascii="Times New Roman" w:hAnsi="Times New Roman" w:eastAsia="仿宋_GB2312" w:cs="Times New Roman"/>
          <w:sz w:val="32"/>
          <w:szCs w:val="32"/>
          <w:lang w:val="en-US" w:eastAsia="zh-CN"/>
        </w:rPr>
        <w:t>锡林郭勒盟能源管理综合行政执法支队14人转隶至本部门外的其他单位，因此本年</w:t>
      </w:r>
      <w:r>
        <w:rPr>
          <w:rFonts w:hint="default" w:ascii="Times New Roman" w:hAnsi="Times New Roman" w:eastAsia="仿宋_GB2312" w:cs="Times New Roman"/>
          <w:sz w:val="32"/>
          <w:szCs w:val="32"/>
          <w:lang w:val="en-US" w:eastAsia="zh-CN"/>
        </w:rPr>
        <w:t>住房补贴</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lang w:val="en-US" w:eastAsia="zh-CN"/>
        </w:rPr>
        <w:t>。</w:t>
      </w:r>
    </w:p>
    <w:p w14:paraId="2A2F51F3">
      <w:pPr>
        <w:pStyle w:val="2"/>
        <w:keepNext w:val="0"/>
        <w:keepLines w:val="0"/>
        <w:pageBreakBefore w:val="0"/>
        <w:widowControl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六</w:t>
      </w:r>
      <w:r>
        <w:rPr>
          <w:rFonts w:hint="eastAsia" w:ascii="楷体" w:hAnsi="楷体" w:eastAsia="楷体" w:cs="楷体"/>
          <w:b/>
          <w:bCs/>
          <w:color w:val="auto"/>
          <w:sz w:val="32"/>
          <w:szCs w:val="32"/>
        </w:rPr>
        <w:t>）灾害防治及应急管理（类）</w:t>
      </w:r>
    </w:p>
    <w:p w14:paraId="2EE0AC9F">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 w:hAnsi="仿宋" w:eastAsia="仿宋" w:cs="仿宋"/>
          <w:sz w:val="32"/>
          <w:szCs w:val="32"/>
          <w:highlight w:val="yellow"/>
        </w:rPr>
      </w:pP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eastAsia="zh-CN"/>
        </w:rPr>
        <w:t>矿山安全</w:t>
      </w:r>
      <w:r>
        <w:rPr>
          <w:rFonts w:hint="default" w:ascii="Times New Roman" w:hAnsi="Times New Roman" w:eastAsia="仿宋_GB2312" w:cs="Times New Roman"/>
          <w:color w:val="auto"/>
          <w:sz w:val="32"/>
          <w:szCs w:val="32"/>
        </w:rPr>
        <w:t>（款）其他矿山安全（项）。年初预算</w:t>
      </w:r>
      <w:r>
        <w:rPr>
          <w:rFonts w:hint="eastAsia" w:ascii="Times New Roman" w:hAnsi="Times New Roman" w:eastAsia="仿宋_GB2312" w:cs="Times New Roman"/>
          <w:color w:val="auto"/>
          <w:sz w:val="32"/>
          <w:szCs w:val="32"/>
          <w:u w:val="single"/>
          <w:lang w:val="en-US" w:eastAsia="zh-CN"/>
        </w:rPr>
        <w:t>22.68</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val="en-US" w:eastAsia="zh-CN"/>
        </w:rPr>
        <w:t>减少</w:t>
      </w:r>
      <w:r>
        <w:rPr>
          <w:rFonts w:hint="eastAsia" w:eastAsia="仿宋_GB2312" w:cs="Times New Roman"/>
          <w:color w:val="auto"/>
          <w:sz w:val="32"/>
          <w:szCs w:val="32"/>
          <w:u w:val="single"/>
          <w:lang w:val="en-US" w:eastAsia="zh-CN"/>
        </w:rPr>
        <w:t>1355.85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减少</w:t>
      </w:r>
      <w:r>
        <w:rPr>
          <w:rFonts w:hint="eastAsia" w:eastAsia="仿宋_GB2312" w:cs="Times New Roman"/>
          <w:color w:val="auto"/>
          <w:sz w:val="32"/>
          <w:szCs w:val="32"/>
          <w:u w:val="single"/>
          <w:lang w:val="en-US" w:eastAsia="zh-CN"/>
        </w:rPr>
        <w:t>98.36</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sz w:val="32"/>
          <w:szCs w:val="32"/>
          <w:lang w:val="en-US" w:eastAsia="zh-CN"/>
        </w:rPr>
        <w:t>上年我单位机构改革煤矿安全监管职能划转至应急管理部门，本年无煤矿</w:t>
      </w:r>
      <w:r>
        <w:rPr>
          <w:rFonts w:hint="eastAsia" w:eastAsia="仿宋_GB2312" w:cs="Times New Roman"/>
          <w:sz w:val="32"/>
          <w:szCs w:val="32"/>
          <w:lang w:val="en-US" w:eastAsia="zh-CN"/>
        </w:rPr>
        <w:t>安全相关</w:t>
      </w:r>
      <w:r>
        <w:rPr>
          <w:rFonts w:hint="default" w:ascii="Times New Roman" w:hAnsi="Times New Roman" w:eastAsia="仿宋_GB2312" w:cs="Times New Roman"/>
          <w:sz w:val="32"/>
          <w:szCs w:val="32"/>
          <w:lang w:val="en-US" w:eastAsia="zh-CN"/>
        </w:rPr>
        <w:t>项目经费</w:t>
      </w:r>
      <w:r>
        <w:rPr>
          <w:rFonts w:hint="eastAsia" w:ascii="Times New Roman" w:hAnsi="Times New Roman" w:eastAsia="仿宋_GB2312" w:cs="Times New Roman"/>
          <w:sz w:val="32"/>
          <w:szCs w:val="32"/>
          <w:lang w:val="en-US" w:eastAsia="zh-CN"/>
        </w:rPr>
        <w:t>，此外我单位不再适用灾害防治及应急管理支出科目，因此将科目调整为</w:t>
      </w:r>
      <w:r>
        <w:rPr>
          <w:rFonts w:hint="default" w:ascii="Times New Roman" w:hAnsi="Times New Roman" w:eastAsia="仿宋_GB2312" w:cs="Times New Roman"/>
          <w:sz w:val="32"/>
          <w:szCs w:val="32"/>
        </w:rPr>
        <w:t>节能环保（类）支出</w:t>
      </w:r>
      <w:r>
        <w:rPr>
          <w:rFonts w:hint="eastAsia" w:ascii="Times New Roman" w:hAnsi="Times New Roman" w:eastAsia="仿宋_GB2312" w:cs="Times New Roman"/>
          <w:sz w:val="32"/>
          <w:szCs w:val="32"/>
          <w:lang w:val="en-US" w:eastAsia="zh-CN"/>
        </w:rPr>
        <w:t>科目</w:t>
      </w:r>
      <w:r>
        <w:rPr>
          <w:rFonts w:hint="eastAsia" w:ascii="Times New Roman" w:hAnsi="Times New Roman" w:eastAsia="仿宋_GB2312" w:cs="Times New Roman"/>
          <w:sz w:val="32"/>
          <w:szCs w:val="32"/>
          <w:lang w:eastAsia="zh-CN"/>
        </w:rPr>
        <w:t>。</w:t>
      </w:r>
      <w:r>
        <w:rPr>
          <w:rFonts w:hint="eastAsia" w:eastAsia="仿宋_GB2312" w:cs="Times New Roman"/>
          <w:color w:val="auto"/>
          <w:sz w:val="32"/>
          <w:szCs w:val="32"/>
          <w:lang w:eastAsia="zh-CN"/>
        </w:rPr>
        <w:t>矿山安全</w:t>
      </w:r>
      <w:r>
        <w:rPr>
          <w:rFonts w:hint="default" w:ascii="Times New Roman" w:hAnsi="Times New Roman" w:eastAsia="仿宋_GB2312" w:cs="Times New Roman"/>
          <w:color w:val="auto"/>
          <w:sz w:val="32"/>
          <w:szCs w:val="32"/>
        </w:rPr>
        <w:t>其他矿山安全</w:t>
      </w:r>
      <w:r>
        <w:rPr>
          <w:rFonts w:hint="eastAsia" w:ascii="Times New Roman" w:hAnsi="Times New Roman" w:eastAsia="仿宋_GB2312" w:cs="Times New Roman"/>
          <w:color w:val="auto"/>
          <w:sz w:val="32"/>
          <w:szCs w:val="32"/>
          <w:lang w:val="en-US" w:eastAsia="zh-CN"/>
        </w:rPr>
        <w:t>科目年初预算</w:t>
      </w:r>
      <w:r>
        <w:rPr>
          <w:rFonts w:hint="eastAsia" w:ascii="Times New Roman" w:hAnsi="Times New Roman" w:eastAsia="仿宋_GB2312" w:cs="Times New Roman"/>
          <w:color w:val="auto"/>
          <w:sz w:val="32"/>
          <w:szCs w:val="32"/>
          <w:u w:val="none"/>
          <w:lang w:val="en-US" w:eastAsia="zh-CN"/>
        </w:rPr>
        <w:t>22.68万元为安全检查经费，主要用于开展电力、新能源等企业安全检查所使用，由于此项目有在途资金，无法在预算批复前调整科目，因此暂还用原科目。</w:t>
      </w:r>
    </w:p>
    <w:p w14:paraId="41A6541E">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14:paraId="76B3FEEC">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锡林郭勒盟能源局</w:t>
      </w:r>
      <w:r>
        <w:rPr>
          <w:rFonts w:hint="default" w:ascii="Times New Roman" w:hAnsi="Times New Roman" w:eastAsia="仿宋_GB2312" w:cs="Times New Roman"/>
          <w:sz w:val="32"/>
          <w:szCs w:val="32"/>
          <w:u w:val="single"/>
        </w:rPr>
        <w:t>部门</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年度一般公共预算财政拨款基本支出预算</w:t>
      </w:r>
      <w:r>
        <w:rPr>
          <w:rFonts w:hint="eastAsia" w:eastAsia="仿宋_GB2312" w:cs="Times New Roman"/>
          <w:sz w:val="32"/>
          <w:szCs w:val="32"/>
          <w:u w:val="single"/>
          <w:lang w:val="en-US" w:eastAsia="zh-CN"/>
        </w:rPr>
        <w:t>721.68</w:t>
      </w:r>
      <w:r>
        <w:rPr>
          <w:rFonts w:hint="default" w:ascii="Times New Roman" w:hAnsi="Times New Roman" w:eastAsia="仿宋_GB2312" w:cs="Times New Roman"/>
          <w:sz w:val="32"/>
          <w:szCs w:val="32"/>
        </w:rPr>
        <w:t>万元，其中：</w:t>
      </w:r>
    </w:p>
    <w:p w14:paraId="0A4BDC22">
      <w:pPr>
        <w:pStyle w:val="2"/>
        <w:keepNext w:val="0"/>
        <w:keepLines w:val="0"/>
        <w:pageBreakBefore w:val="0"/>
        <w:widowControl w:val="0"/>
        <w:numPr>
          <w:ilvl w:val="0"/>
          <w:numId w:val="0"/>
        </w:numPr>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eastAsia="仿宋_GB2312" w:cs="Times New Roman"/>
          <w:sz w:val="32"/>
          <w:szCs w:val="32"/>
          <w:lang w:eastAsia="zh-CN"/>
        </w:rPr>
      </w:pPr>
      <w:r>
        <w:rPr>
          <w:rFonts w:hint="eastAsia" w:eastAsia="仿宋_GB2312" w:cs="Times New Roman"/>
          <w:b/>
          <w:bCs/>
          <w:sz w:val="32"/>
          <w:szCs w:val="32"/>
          <w:lang w:eastAsia="zh-CN"/>
        </w:rPr>
        <w:t>（</w:t>
      </w:r>
      <w:r>
        <w:rPr>
          <w:rFonts w:hint="eastAsia" w:eastAsia="仿宋_GB2312" w:cs="Times New Roman"/>
          <w:b/>
          <w:bCs/>
          <w:sz w:val="32"/>
          <w:szCs w:val="32"/>
          <w:lang w:val="en-US" w:eastAsia="zh-CN"/>
        </w:rPr>
        <w:t>一</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598.61</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。主要包括：基本工资、津贴补贴、奖金、绩效工资、机关事业单位基本养老保险缴费</w:t>
      </w:r>
      <w:r>
        <w:rPr>
          <w:rFonts w:hint="eastAsia" w:eastAsia="仿宋_GB2312" w:cs="Times New Roman"/>
          <w:sz w:val="32"/>
          <w:szCs w:val="32"/>
          <w:lang w:eastAsia="zh-CN"/>
        </w:rPr>
        <w:t>、职工基本医疗保险缴费、公务员医疗补助缴费、其他社会保障缴费、住房公积金、其他工资福利支出、退休费、生活补助、其他对个人和家庭的补助。</w:t>
      </w:r>
    </w:p>
    <w:p w14:paraId="6C0565C6">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123.07</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lang w:eastAsia="zh-CN"/>
        </w:rPr>
        <w:t>、邮电费、物业管理费、租赁费、公务接待费、工会经费、福利费、公务用车运行维护费、其他交通费用、其他商品和服务支出</w:t>
      </w:r>
      <w:r>
        <w:rPr>
          <w:rFonts w:hint="default" w:ascii="Times New Roman" w:hAnsi="Times New Roman" w:eastAsia="仿宋_GB2312" w:cs="Times New Roman"/>
          <w:sz w:val="32"/>
          <w:szCs w:val="32"/>
        </w:rPr>
        <w:t>等。</w:t>
      </w:r>
    </w:p>
    <w:p w14:paraId="4E6D10D7">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14:paraId="2A264AEC">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锡林郭勒盟能源局</w:t>
      </w:r>
      <w:r>
        <w:rPr>
          <w:rFonts w:hint="default" w:ascii="Times New Roman" w:hAnsi="Times New Roman" w:eastAsia="仿宋_GB2312" w:cs="Times New Roman"/>
          <w:sz w:val="32"/>
          <w:szCs w:val="32"/>
          <w:u w:val="single"/>
        </w:rPr>
        <w:t>部门</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16.51</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78.74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3.51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21.26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14:paraId="512AF927">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16.51</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w:t>
      </w:r>
      <w:r>
        <w:rPr>
          <w:rFonts w:hint="eastAsia" w:eastAsia="仿宋_GB2312" w:cs="Times New Roman"/>
          <w:spacing w:val="-6"/>
          <w:sz w:val="32"/>
          <w:szCs w:val="32"/>
          <w:lang w:val="en-US" w:eastAsia="zh-CN"/>
        </w:rPr>
        <w:t>持平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4"/>
          <w:sz w:val="32"/>
          <w:szCs w:val="32"/>
        </w:rPr>
        <w:t>其中：</w:t>
      </w:r>
    </w:p>
    <w:p w14:paraId="43C925CA">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无此项内容</w:t>
      </w:r>
      <w:r>
        <w:rPr>
          <w:rFonts w:hint="default" w:ascii="Times New Roman" w:hAnsi="Times New Roman" w:eastAsia="仿宋_GB2312" w:cs="Times New Roman"/>
          <w:sz w:val="32"/>
          <w:szCs w:val="32"/>
        </w:rPr>
        <w:t>。</w:t>
      </w:r>
    </w:p>
    <w:p w14:paraId="2EB0CF56">
      <w:pPr>
        <w:pStyle w:val="2"/>
        <w:keepNext w:val="0"/>
        <w:keepLines w:val="0"/>
        <w:pageBreakBefore w:val="0"/>
        <w:widowControl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14:paraId="6F3D7EB2">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无此项内容</w:t>
      </w:r>
      <w:r>
        <w:rPr>
          <w:rFonts w:hint="default" w:ascii="Times New Roman" w:hAnsi="Times New Roman" w:eastAsia="仿宋_GB2312" w:cs="Times New Roman"/>
          <w:sz w:val="32"/>
          <w:szCs w:val="32"/>
        </w:rPr>
        <w:t>。</w:t>
      </w:r>
    </w:p>
    <w:p w14:paraId="55F8C659">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上年预算</w:t>
      </w:r>
      <w:r>
        <w:rPr>
          <w:rFonts w:hint="eastAsia" w:eastAsia="仿宋_GB2312" w:cs="Times New Roman"/>
          <w:sz w:val="32"/>
          <w:szCs w:val="32"/>
          <w:lang w:val="en-US" w:eastAsia="zh-CN"/>
        </w:rPr>
        <w:t>持平，</w:t>
      </w:r>
      <w:r>
        <w:rPr>
          <w:rFonts w:hint="default" w:ascii="Times New Roman" w:hAnsi="Times New Roman" w:eastAsia="仿宋_GB2312" w:cs="Times New Roman"/>
          <w:sz w:val="32"/>
          <w:szCs w:val="32"/>
        </w:rPr>
        <w:t>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上年预算</w:t>
      </w:r>
      <w:r>
        <w:rPr>
          <w:rFonts w:hint="eastAsia" w:eastAsia="仿宋_GB2312" w:cs="Times New Roman"/>
          <w:sz w:val="32"/>
          <w:szCs w:val="32"/>
          <w:lang w:val="en-US" w:eastAsia="zh-CN"/>
        </w:rPr>
        <w:t>持平</w:t>
      </w:r>
      <w:r>
        <w:rPr>
          <w:rFonts w:hint="default" w:ascii="Times New Roman" w:hAnsi="Times New Roman" w:eastAsia="仿宋_GB2312" w:cs="Times New Roman"/>
          <w:sz w:val="32"/>
          <w:szCs w:val="32"/>
        </w:rPr>
        <w:t>。</w:t>
      </w:r>
    </w:p>
    <w:p w14:paraId="4A2F4A3E">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Times New Roman" w:hAnsi="Times New Roman" w:eastAsia="仿宋_GB2312" w:cs="Times New Roman"/>
          <w:i/>
          <w:iCs/>
          <w:sz w:val="32"/>
          <w:szCs w:val="32"/>
          <w:highlight w:val="yellow"/>
          <w:lang w:eastAsia="zh-CN"/>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3.51</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上年预算</w:t>
      </w:r>
      <w:r>
        <w:rPr>
          <w:rFonts w:hint="eastAsia" w:eastAsia="仿宋_GB2312" w:cs="Times New Roman"/>
          <w:sz w:val="32"/>
          <w:szCs w:val="32"/>
          <w:lang w:val="en-US" w:eastAsia="zh-CN"/>
        </w:rPr>
        <w:t>持平，</w:t>
      </w:r>
      <w:r>
        <w:rPr>
          <w:rFonts w:hint="default" w:ascii="Times New Roman" w:hAnsi="Times New Roman" w:eastAsia="仿宋_GB2312" w:cs="Times New Roman"/>
          <w:sz w:val="32"/>
          <w:szCs w:val="32"/>
        </w:rPr>
        <w:t>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上年预算</w:t>
      </w:r>
      <w:r>
        <w:rPr>
          <w:rFonts w:hint="eastAsia" w:eastAsia="仿宋_GB2312" w:cs="Times New Roman"/>
          <w:sz w:val="32"/>
          <w:szCs w:val="32"/>
          <w:lang w:val="en-US" w:eastAsia="zh-CN"/>
        </w:rPr>
        <w:t>持平</w:t>
      </w:r>
      <w:r>
        <w:rPr>
          <w:rFonts w:hint="default" w:ascii="Times New Roman" w:hAnsi="Times New Roman" w:eastAsia="仿宋_GB2312" w:cs="Times New Roman"/>
          <w:sz w:val="32"/>
          <w:szCs w:val="32"/>
        </w:rPr>
        <w:t>。</w:t>
      </w:r>
    </w:p>
    <w:p w14:paraId="513F4023">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14:paraId="54BE873F">
      <w:pPr>
        <w:pStyle w:val="2"/>
        <w:keepNext w:val="0"/>
        <w:keepLines w:val="0"/>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锡林郭勒盟能源局部门</w:t>
      </w:r>
      <w:r>
        <w:rPr>
          <w:rFonts w:hint="eastAsia" w:ascii="仿宋_GB2312" w:hAnsi="仿宋_GB2312" w:eastAsia="仿宋_GB2312" w:cs="仿宋_GB2312"/>
          <w:sz w:val="32"/>
          <w:szCs w:val="32"/>
          <w:u w:val="single"/>
          <w:lang w:val="en-US" w:eastAsia="zh-CN"/>
        </w:rPr>
        <w:t>2025</w:t>
      </w:r>
      <w:r>
        <w:rPr>
          <w:rFonts w:hint="default" w:ascii="Times New Roman" w:hAnsi="Times New Roman" w:eastAsia="仿宋_GB2312" w:cs="Times New Roman"/>
          <w:sz w:val="32"/>
          <w:szCs w:val="32"/>
        </w:rPr>
        <w:t>年政府性基金支出预算支出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%。主要原因是本年无政府性基金预算拨款支出。</w:t>
      </w:r>
    </w:p>
    <w:p w14:paraId="4F062A00">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14:paraId="6E5A7AD2">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rPr>
          <w:rFonts w:eastAsia="仿宋_GB2312" w:cstheme="minorBidi"/>
          <w:sz w:val="32"/>
          <w:szCs w:val="32"/>
        </w:rPr>
      </w:pPr>
      <w:r>
        <w:rPr>
          <w:rFonts w:hint="eastAsia" w:ascii="仿宋_GB2312" w:hAnsi="仿宋_GB2312" w:eastAsia="仿宋_GB2312" w:cs="仿宋_GB2312"/>
          <w:sz w:val="32"/>
          <w:szCs w:val="32"/>
          <w:u w:val="single"/>
          <w:lang w:eastAsia="zh-CN"/>
        </w:rPr>
        <w:t>锡林郭勒盟能源局部门</w:t>
      </w:r>
      <w:r>
        <w:rPr>
          <w:rFonts w:hint="eastAsia" w:ascii="仿宋_GB2312" w:hAnsi="仿宋_GB2312" w:eastAsia="仿宋_GB2312" w:cs="仿宋_GB2312"/>
          <w:sz w:val="32"/>
          <w:szCs w:val="32"/>
          <w:u w:val="single"/>
          <w:lang w:val="en-US" w:eastAsia="zh-CN"/>
        </w:rPr>
        <w:t>2025</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w:t>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%。主要原因是本年无国有资本经营预算拨款支出。</w:t>
      </w:r>
    </w:p>
    <w:p w14:paraId="4F94E7D0">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rPr>
          <w:b w:val="0"/>
          <w:bCs w:val="0"/>
          <w:i/>
          <w:iCs/>
          <w:highlight w:val="yellow"/>
        </w:rPr>
      </w:pPr>
      <w:r>
        <w:rPr>
          <w:rFonts w:hint="eastAsia" w:eastAsia="黑体" w:cs="黑体"/>
          <w:b w:val="0"/>
          <w:bCs w:val="0"/>
          <w:sz w:val="32"/>
          <w:szCs w:val="36"/>
        </w:rPr>
        <w:t>十、项目支出预算情况说明</w:t>
      </w:r>
    </w:p>
    <w:p w14:paraId="2FA1A3BB">
      <w:pPr>
        <w:keepNext w:val="0"/>
        <w:keepLines w:val="0"/>
        <w:pageBreakBefore w:val="0"/>
        <w:widowControl w:val="0"/>
        <w:kinsoku/>
        <w:wordWrap/>
        <w:overflowPunct/>
        <w:topLinePunct w:val="0"/>
        <w:autoSpaceDE/>
        <w:autoSpaceDN/>
        <w:bidi w:val="0"/>
        <w:adjustRightInd/>
        <w:spacing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年部门预算安排项目</w:t>
      </w:r>
      <w:r>
        <w:rPr>
          <w:rFonts w:hint="eastAsia" w:eastAsia="仿宋_GB2312" w:cs="Times New Roman"/>
          <w:sz w:val="32"/>
          <w:szCs w:val="32"/>
          <w:u w:val="single"/>
          <w:lang w:val="en-US" w:eastAsia="zh-CN"/>
        </w:rPr>
        <w:t xml:space="preserve"> 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eastAsia" w:eastAsia="仿宋_GB2312" w:cs="Times New Roman"/>
          <w:sz w:val="32"/>
          <w:szCs w:val="32"/>
          <w:u w:val="single"/>
          <w:lang w:val="en-US" w:eastAsia="zh-CN"/>
        </w:rPr>
        <w:t>940.39</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615</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325.39</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7ADEE1D7">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default" w:ascii="黑体" w:hAnsi="黑体" w:eastAsia="黑体" w:cs="黑体"/>
          <w:b w:val="0"/>
          <w:bCs/>
          <w:i w:val="0"/>
          <w:iCs w:val="0"/>
          <w:color w:val="000000" w:themeColor="text1"/>
          <w:sz w:val="32"/>
          <w:szCs w:val="32"/>
          <w:highlight w:val="none"/>
          <w:lang w:val="en-US" w:eastAsia="zh-CN"/>
          <w14:textFill>
            <w14:solidFill>
              <w14:schemeClr w14:val="tx1"/>
            </w14:solidFill>
          </w14:textFill>
        </w:rPr>
        <w:t>安全生产专项经费</w:t>
      </w: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（结转项目）</w:t>
      </w:r>
    </w:p>
    <w:p w14:paraId="3472CED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1.项目概述 </w:t>
      </w:r>
    </w:p>
    <w:p w14:paraId="0EB9C6E3">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本项目主要用于盟安委会8个专委会牵头部门、安委办督导检查安全生产工作和全盟性安全生产大检查、综合检查、督导检查等相关费用（包括聘请专家费、食宿费以及车辆租赁等）</w:t>
      </w:r>
      <w:r>
        <w:rPr>
          <w:rFonts w:hint="eastAsia" w:eastAsia="仿宋_GB2312" w:cs="Times New Roman"/>
          <w:color w:val="auto"/>
          <w:sz w:val="32"/>
          <w:szCs w:val="32"/>
          <w:lang w:val="en-US" w:eastAsia="zh-CN"/>
        </w:rPr>
        <w:t>。</w:t>
      </w:r>
    </w:p>
    <w:p w14:paraId="4604CB4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06251D84">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根据锡林郭勒盟行政公署专题会议纪要〔2023〕44号《研究安全生产重点工作有关事宜》和张怡盟长会后指示。</w:t>
      </w:r>
    </w:p>
    <w:p w14:paraId="2917A23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3.实施主体 </w:t>
      </w:r>
    </w:p>
    <w:p w14:paraId="06708E13">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6963BC7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实施方案 </w:t>
      </w:r>
    </w:p>
    <w:p w14:paraId="5C6B153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w:t>
      </w:r>
      <w:r>
        <w:rPr>
          <w:rFonts w:hint="default" w:ascii="Times New Roman" w:hAnsi="Times New Roman" w:eastAsia="仿宋_GB2312" w:cs="Times New Roman"/>
          <w:color w:val="auto"/>
          <w:sz w:val="32"/>
          <w:szCs w:val="32"/>
          <w:lang w:val="en-US" w:eastAsia="zh-CN"/>
        </w:rPr>
        <w:t>安全生产大检查、综合检查、督导检查等相关费用（包括聘请专家费、食宿费以及车辆租赁等）</w:t>
      </w:r>
    </w:p>
    <w:p w14:paraId="2D475FC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7EEAE92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35FCD3F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5209026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ascii="Times New Roman" w:hAnsi="Times New Roman" w:eastAsia="仿宋_GB2312" w:cs="Times New Roman"/>
          <w:color w:val="auto"/>
          <w:sz w:val="32"/>
          <w:szCs w:val="32"/>
          <w:lang w:val="en-US" w:eastAsia="zh-CN"/>
        </w:rPr>
        <w:t>12.54</w:t>
      </w:r>
      <w:r>
        <w:rPr>
          <w:rFonts w:hint="default" w:ascii="Times New Roman" w:hAnsi="Times New Roman" w:eastAsia="仿宋_GB2312" w:cs="Times New Roman"/>
          <w:color w:val="auto"/>
          <w:sz w:val="32"/>
          <w:szCs w:val="32"/>
        </w:rPr>
        <w:t>元。</w:t>
      </w:r>
    </w:p>
    <w:p w14:paraId="3A580F6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（二）安全检查及安全生产技术（本年）</w:t>
      </w:r>
    </w:p>
    <w:p w14:paraId="46D87C2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0D7502E3">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全盟电力企业、新能源企业、油气长输管道企业进行安全评估；对智能化矿山进行验收及检查：对全盟电力、新能源、油气长输管道企业进行安全检查及配置更新执法用专用设备及通用设备；对在建煤矿初步设计变更进行评审、委托三方或聘请专家对生产建设煤矿生产建设秩序进行行业监管等。</w:t>
      </w:r>
    </w:p>
    <w:p w14:paraId="4D6742A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26FD775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内蒙古自治区能源局关于印发《内蒙古自治区2024年电力行业安全生产工作要点》的通知、内蒙古自治区能源局关于印发《内蒙古自治区2024年石油天然气长输管道保护工作要点》的通知、内蒙古自治区能源局国家矿山安全监察局内蒙古局关于加强煤矿智能化验收工作的通知、锡林郭勒盟能源局2024年度电力和油气长输管道安全生产监管执法计划、关于下放行政许可等事项的通知（内能法改字〔2022〕1440号）</w:t>
      </w:r>
      <w:r>
        <w:rPr>
          <w:rFonts w:hint="eastAsia" w:eastAsia="仿宋_GB2312" w:cs="Times New Roman"/>
          <w:color w:val="auto"/>
          <w:sz w:val="32"/>
          <w:szCs w:val="32"/>
          <w:lang w:val="en-US" w:eastAsia="zh-CN"/>
        </w:rPr>
        <w:t>。</w:t>
      </w:r>
    </w:p>
    <w:p w14:paraId="0396C76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3.实施主体 </w:t>
      </w:r>
    </w:p>
    <w:p w14:paraId="1997F83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32139E5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实施方案 </w:t>
      </w:r>
    </w:p>
    <w:p w14:paraId="60C48F2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w:t>
      </w:r>
      <w:r>
        <w:rPr>
          <w:rFonts w:hint="default" w:ascii="Times New Roman" w:hAnsi="Times New Roman" w:eastAsia="仿宋_GB2312" w:cs="Times New Roman"/>
          <w:color w:val="auto"/>
          <w:sz w:val="32"/>
          <w:szCs w:val="32"/>
          <w:lang w:val="en-US" w:eastAsia="zh-CN"/>
        </w:rPr>
        <w:t>安全</w:t>
      </w:r>
      <w:r>
        <w:rPr>
          <w:rFonts w:hint="eastAsia" w:ascii="Times New Roman" w:hAnsi="Times New Roman" w:eastAsia="仿宋_GB2312" w:cs="Times New Roman"/>
          <w:color w:val="auto"/>
          <w:sz w:val="32"/>
          <w:szCs w:val="32"/>
          <w:lang w:val="en-US" w:eastAsia="zh-CN"/>
        </w:rPr>
        <w:t>评估、安全</w:t>
      </w:r>
      <w:r>
        <w:rPr>
          <w:rFonts w:hint="default" w:ascii="Times New Roman" w:hAnsi="Times New Roman" w:eastAsia="仿宋_GB2312" w:cs="Times New Roman"/>
          <w:color w:val="auto"/>
          <w:sz w:val="32"/>
          <w:szCs w:val="32"/>
          <w:lang w:val="en-US" w:eastAsia="zh-CN"/>
        </w:rPr>
        <w:t>检查、</w:t>
      </w:r>
      <w:r>
        <w:rPr>
          <w:rFonts w:hint="eastAsia" w:ascii="Times New Roman" w:hAnsi="Times New Roman" w:eastAsia="仿宋_GB2312" w:cs="Times New Roman"/>
          <w:color w:val="auto"/>
          <w:sz w:val="32"/>
          <w:szCs w:val="32"/>
          <w:lang w:val="en-US" w:eastAsia="zh-CN"/>
        </w:rPr>
        <w:t>评审</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配置更新执法用专用设备及通用设备</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相关费用</w:t>
      </w:r>
      <w:r>
        <w:rPr>
          <w:rFonts w:hint="eastAsia" w:ascii="Times New Roman" w:hAnsi="Times New Roman" w:eastAsia="仿宋_GB2312" w:cs="Times New Roman"/>
          <w:color w:val="auto"/>
          <w:sz w:val="32"/>
          <w:szCs w:val="32"/>
          <w:lang w:val="en-US" w:eastAsia="zh-CN"/>
        </w:rPr>
        <w:t>。</w:t>
      </w:r>
    </w:p>
    <w:p w14:paraId="3D63B4E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076A31D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60CF7FA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196D688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ascii="Times New Roman" w:hAnsi="Times New Roman" w:eastAsia="仿宋_GB2312" w:cs="Times New Roman"/>
          <w:color w:val="auto"/>
          <w:sz w:val="32"/>
          <w:szCs w:val="32"/>
          <w:lang w:val="en-US" w:eastAsia="zh-CN"/>
        </w:rPr>
        <w:t>295</w:t>
      </w:r>
      <w:r>
        <w:rPr>
          <w:rFonts w:hint="default" w:ascii="Times New Roman" w:hAnsi="Times New Roman" w:eastAsia="仿宋_GB2312" w:cs="Times New Roman"/>
          <w:color w:val="auto"/>
          <w:sz w:val="32"/>
          <w:szCs w:val="32"/>
        </w:rPr>
        <w:t>元。</w:t>
      </w:r>
    </w:p>
    <w:p w14:paraId="66A0106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lang w:val="en-US" w:eastAsia="zh-CN"/>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（三）安全检查相关（结转项目）</w:t>
      </w:r>
    </w:p>
    <w:p w14:paraId="66974AF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56FE0453">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本项目主要用于保障安全检查工作人员专项检查、日常检查等执法检查和安全培训</w:t>
      </w:r>
      <w:r>
        <w:rPr>
          <w:rFonts w:hint="eastAsia" w:eastAsia="仿宋_GB2312" w:cs="Times New Roman"/>
          <w:color w:val="auto"/>
          <w:sz w:val="32"/>
          <w:szCs w:val="32"/>
          <w:lang w:val="en-US" w:eastAsia="zh-CN"/>
        </w:rPr>
        <w:t>。</w:t>
      </w:r>
    </w:p>
    <w:p w14:paraId="12ECE88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51E2559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根据《中华人民共和国安全生产法》、《中华人民共和国行政处罚法》，2013年国务院办公厅《关于进一步加强煤矿安全生产工作的意见》（国办发〔2013〕99号）；《国务院关于预防煤矿生产安全事故的特别规定》（国务院令第446号令）；国家安监总局《安全生产违法行为行政处罚办法》；锡林郭勒盟行政公署办公厅关于印发《锡林郭勒盟有关部门和单位安全生产工作职责规定》的通知（锡署办发〔2016〕85号）文件；盟委、行署的总体部署和盟安委会的工作安排；局务会会议决定。</w:t>
      </w:r>
    </w:p>
    <w:p w14:paraId="009E29A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1D9EE57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2B0435D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1F92283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用于支付</w:t>
      </w:r>
      <w:r>
        <w:rPr>
          <w:rFonts w:hint="default" w:ascii="Times New Roman" w:hAnsi="Times New Roman" w:eastAsia="仿宋_GB2312" w:cs="Times New Roman"/>
          <w:color w:val="auto"/>
          <w:sz w:val="32"/>
          <w:szCs w:val="32"/>
          <w:lang w:val="en-US" w:eastAsia="zh-CN"/>
        </w:rPr>
        <w:t>安全检查工作人员专项检查、日常检查等执法检查和安全培训</w:t>
      </w:r>
      <w:r>
        <w:rPr>
          <w:rFonts w:hint="eastAsia" w:eastAsia="仿宋_GB2312" w:cs="Times New Roman"/>
          <w:color w:val="auto"/>
          <w:sz w:val="32"/>
          <w:szCs w:val="32"/>
          <w:lang w:eastAsia="zh-CN"/>
        </w:rPr>
        <w:t>产生的</w:t>
      </w:r>
      <w:r>
        <w:rPr>
          <w:rFonts w:hint="eastAsia" w:eastAsia="仿宋_GB2312" w:cs="Times New Roman"/>
          <w:color w:val="auto"/>
          <w:sz w:val="32"/>
          <w:szCs w:val="32"/>
          <w:lang w:val="en-US" w:eastAsia="zh-CN"/>
        </w:rPr>
        <w:t>费用。</w:t>
      </w:r>
    </w:p>
    <w:p w14:paraId="0A78E1B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3989A5B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3423EE2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14403E6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22.68万</w:t>
      </w:r>
      <w:r>
        <w:rPr>
          <w:rFonts w:hint="default" w:ascii="Times New Roman" w:hAnsi="Times New Roman" w:eastAsia="仿宋_GB2312" w:cs="Times New Roman"/>
          <w:color w:val="auto"/>
          <w:sz w:val="32"/>
          <w:szCs w:val="32"/>
        </w:rPr>
        <w:t>元。</w:t>
      </w:r>
    </w:p>
    <w:p w14:paraId="3BF9BA6A">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（四）编制“十五五”规划专项资金（本年）</w:t>
      </w:r>
    </w:p>
    <w:p w14:paraId="6774D87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4F0F64F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深入贯彻落实党的二十大、二十届二中、三中全会精神以及习近平总书记对内蒙古工作、对能源工作的重要指示精神，按照国家和自治区有关“十五五”能源发展规划编制工作要求，聘请第三方机构，拟编制锡盟“十五五”电力、煤炭工业、新能源发展规划。</w:t>
      </w:r>
    </w:p>
    <w:p w14:paraId="0624DB3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41386AC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内蒙古自治区能源局关于开展“十四五”规划实施情况和“十五五”规划编制调研的通知（内能源综规字（2024）205号）、内蒙古自治区能源局关于做好煤炭工业发展“十五五”编制有关工作的通知（内能源煤开字（2024）580号）、国家能源局综合司关于做好“十五五”煤炭发展规划编制工作的通知（国能综通煤炭（2024）116号）、内蒙古自治区能源局关于召开内蒙古自治区“十五五”能源发展规划启动会的通知、能源领域建议纳入国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十五五</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规划的重大工程项目必要性文稿、锡盟</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十五五</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规划发展思路工作汇报、自治区工信厅关于“</w:t>
      </w:r>
      <w:bookmarkStart w:id="0" w:name="_GoBack"/>
      <w:bookmarkEnd w:id="0"/>
      <w:r>
        <w:rPr>
          <w:rFonts w:hint="default" w:ascii="Times New Roman" w:hAnsi="Times New Roman" w:eastAsia="仿宋_GB2312" w:cs="Times New Roman"/>
          <w:color w:val="auto"/>
          <w:sz w:val="32"/>
          <w:szCs w:val="32"/>
          <w:lang w:val="en-US" w:eastAsia="zh-CN"/>
        </w:rPr>
        <w:t>十五五”规划调研座谈会发言提纲</w:t>
      </w:r>
      <w:r>
        <w:rPr>
          <w:rFonts w:hint="eastAsia" w:eastAsia="仿宋_GB2312" w:cs="Times New Roman"/>
          <w:color w:val="auto"/>
          <w:sz w:val="32"/>
          <w:szCs w:val="32"/>
          <w:lang w:val="en-US" w:eastAsia="zh-CN"/>
        </w:rPr>
        <w:t>。</w:t>
      </w:r>
    </w:p>
    <w:p w14:paraId="748B076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6B99891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08830B8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1A80F59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w:t>
      </w:r>
      <w:r>
        <w:rPr>
          <w:rFonts w:hint="default" w:ascii="Times New Roman" w:hAnsi="Times New Roman" w:eastAsia="仿宋_GB2312" w:cs="Times New Roman"/>
          <w:color w:val="auto"/>
          <w:sz w:val="32"/>
          <w:szCs w:val="32"/>
          <w:lang w:eastAsia="zh-CN"/>
        </w:rPr>
        <w:t>于支付聘请第三方机构，编制锡盟“十五五”电力、煤炭、新能源发展规划所需</w:t>
      </w:r>
      <w:r>
        <w:rPr>
          <w:rFonts w:hint="eastAsia" w:ascii="Times New Roman" w:hAnsi="Times New Roman" w:eastAsia="仿宋_GB2312" w:cs="Times New Roman"/>
          <w:color w:val="auto"/>
          <w:sz w:val="32"/>
          <w:szCs w:val="32"/>
          <w:lang w:val="en-US" w:eastAsia="zh-CN"/>
        </w:rPr>
        <w:t>费用。</w:t>
      </w:r>
    </w:p>
    <w:p w14:paraId="284C032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0331939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2704A7F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3FC218F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180万</w:t>
      </w:r>
      <w:r>
        <w:rPr>
          <w:rFonts w:hint="default" w:ascii="Times New Roman" w:hAnsi="Times New Roman" w:eastAsia="仿宋_GB2312" w:cs="Times New Roman"/>
          <w:color w:val="auto"/>
          <w:sz w:val="32"/>
          <w:szCs w:val="32"/>
        </w:rPr>
        <w:t>元。</w:t>
      </w:r>
    </w:p>
    <w:p w14:paraId="66AEB600">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（五）安全生产技术服务及专项检查与安全评估（结转项目）</w:t>
      </w:r>
    </w:p>
    <w:p w14:paraId="6254BFC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601CC36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本项目主要用于（1）购买第三方服务方式对重点燃煤电厂、油气长输管道企业安全评估；（2）聘请专家对风电场、光伏电站安全评估（</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）购买第三方服务方式对达标煤矿开展智能化验收</w:t>
      </w:r>
      <w:r>
        <w:rPr>
          <w:rFonts w:hint="eastAsia" w:eastAsia="仿宋_GB2312" w:cs="Times New Roman"/>
          <w:color w:val="auto"/>
          <w:sz w:val="32"/>
          <w:szCs w:val="32"/>
          <w:lang w:val="en-US" w:eastAsia="zh-CN"/>
        </w:rPr>
        <w:t>。</w:t>
      </w:r>
    </w:p>
    <w:p w14:paraId="6882571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77A0332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行署2023年第7次常务会议纪要</w:t>
      </w:r>
    </w:p>
    <w:p w14:paraId="0613A6D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7F71F12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50F48C5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2949850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w:t>
      </w:r>
      <w:r>
        <w:rPr>
          <w:rFonts w:hint="eastAsia" w:eastAsia="仿宋_GB2312" w:cs="Times New Roman"/>
          <w:color w:val="auto"/>
          <w:sz w:val="32"/>
          <w:szCs w:val="32"/>
          <w:lang w:eastAsia="zh-CN"/>
        </w:rPr>
        <w:t>对能源</w:t>
      </w:r>
      <w:r>
        <w:rPr>
          <w:rFonts w:hint="default" w:ascii="Times New Roman" w:hAnsi="Times New Roman" w:eastAsia="仿宋_GB2312" w:cs="Times New Roman"/>
          <w:color w:val="auto"/>
          <w:sz w:val="32"/>
          <w:szCs w:val="32"/>
        </w:rPr>
        <w:t>企业安全评估</w:t>
      </w:r>
      <w:r>
        <w:rPr>
          <w:rFonts w:hint="eastAsia" w:eastAsia="仿宋_GB2312" w:cs="Times New Roman"/>
          <w:color w:val="auto"/>
          <w:sz w:val="32"/>
          <w:szCs w:val="32"/>
          <w:lang w:eastAsia="zh-CN"/>
        </w:rPr>
        <w:t>费用、</w:t>
      </w:r>
      <w:r>
        <w:rPr>
          <w:rFonts w:hint="default" w:ascii="Times New Roman" w:hAnsi="Times New Roman" w:eastAsia="仿宋_GB2312" w:cs="Times New Roman"/>
          <w:color w:val="auto"/>
          <w:sz w:val="32"/>
          <w:szCs w:val="32"/>
        </w:rPr>
        <w:t>购买第三方服务方式对达标煤矿开展智能化验收</w:t>
      </w:r>
      <w:r>
        <w:rPr>
          <w:rFonts w:hint="eastAsia" w:eastAsia="仿宋_GB2312" w:cs="Times New Roman"/>
          <w:color w:val="auto"/>
          <w:sz w:val="32"/>
          <w:szCs w:val="32"/>
          <w:lang w:val="en-US" w:eastAsia="zh-CN"/>
        </w:rPr>
        <w:t>。</w:t>
      </w:r>
    </w:p>
    <w:p w14:paraId="6382E55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01463DB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5AC7B6F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012FE4B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239万</w:t>
      </w:r>
      <w:r>
        <w:rPr>
          <w:rFonts w:hint="default" w:ascii="Times New Roman" w:hAnsi="Times New Roman" w:eastAsia="仿宋_GB2312" w:cs="Times New Roman"/>
          <w:color w:val="auto"/>
          <w:sz w:val="32"/>
          <w:szCs w:val="32"/>
        </w:rPr>
        <w:t>元。</w:t>
      </w:r>
    </w:p>
    <w:p w14:paraId="7D13E5D0">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（六）能源业务工作（结转项目）</w:t>
      </w:r>
    </w:p>
    <w:p w14:paraId="7CC2D99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623533C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本项目主要用于保障能源项目调研、评审等前期调研工作产生的相关支出。弥补机关日常运转所需公用经费不足。</w:t>
      </w:r>
    </w:p>
    <w:p w14:paraId="11FA5B6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4B1D92D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2018年8月《国家电力规划研究中心关于报送锡盟煤电基地“一交一直”输电通道后续配套电源规划建设方案研究成果的报告》国电规[2018]3号,《内蒙古自治区矿山环境治理实施方案》;内蒙古自治区能源局关于印发《内蒙古自治区煤电节能降耗及灵活性改造行动计划（2021-2023年）》的通知,关于印发内蒙古自治区“十四五”能源规划工作方案的通知内能综规字（2019）380号。</w:t>
      </w:r>
    </w:p>
    <w:p w14:paraId="1AE48A7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499E40A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07A65A7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47048A6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用于支付</w:t>
      </w:r>
      <w:r>
        <w:rPr>
          <w:rFonts w:hint="eastAsia" w:eastAsia="仿宋_GB2312" w:cs="Times New Roman"/>
          <w:color w:val="auto"/>
          <w:sz w:val="32"/>
          <w:szCs w:val="32"/>
          <w:lang w:val="en-US" w:eastAsia="zh-CN"/>
        </w:rPr>
        <w:t>（1）</w:t>
      </w:r>
      <w:r>
        <w:rPr>
          <w:rFonts w:hint="eastAsia" w:eastAsia="仿宋_GB2312" w:cs="Times New Roman"/>
          <w:color w:val="auto"/>
          <w:sz w:val="32"/>
          <w:szCs w:val="32"/>
          <w:lang w:eastAsia="zh-CN"/>
        </w:rPr>
        <w:t>能源项目的优选、批复、评估、调研、踏勘、评审、验收、环评及方案上报审批等工作产生的支出，主要包括能源工作产生的差旅费、车辆租赁费等；（</w:t>
      </w:r>
      <w:r>
        <w:rPr>
          <w:rFonts w:hint="eastAsia" w:eastAsia="仿宋_GB2312" w:cs="Times New Roman"/>
          <w:color w:val="auto"/>
          <w:sz w:val="32"/>
          <w:szCs w:val="32"/>
          <w:lang w:val="en-US" w:eastAsia="zh-CN"/>
        </w:rPr>
        <w:t>2）</w:t>
      </w:r>
      <w:r>
        <w:rPr>
          <w:rFonts w:hint="eastAsia" w:eastAsia="仿宋_GB2312" w:cs="Times New Roman"/>
          <w:color w:val="auto"/>
          <w:sz w:val="32"/>
          <w:szCs w:val="32"/>
          <w:lang w:eastAsia="zh-CN"/>
        </w:rPr>
        <w:t>弥补机关日常运转所需公用经费不足部分，主要包括办公费、</w:t>
      </w:r>
      <w:r>
        <w:rPr>
          <w:rFonts w:hint="eastAsia" w:eastAsia="仿宋_GB2312" w:cs="Times New Roman"/>
          <w:color w:val="auto"/>
          <w:sz w:val="32"/>
          <w:szCs w:val="32"/>
          <w:lang w:val="en-US" w:eastAsia="zh-CN"/>
        </w:rPr>
        <w:t>邮电费、公务接待费等</w:t>
      </w:r>
      <w:r>
        <w:rPr>
          <w:rFonts w:hint="eastAsia" w:eastAsia="仿宋_GB2312" w:cs="Times New Roman"/>
          <w:color w:val="auto"/>
          <w:sz w:val="32"/>
          <w:szCs w:val="32"/>
          <w:lang w:eastAsia="zh-CN"/>
        </w:rPr>
        <w:t>。</w:t>
      </w:r>
    </w:p>
    <w:p w14:paraId="3A33FBF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50A5C1B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6537B61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61BD3EBD">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12万</w:t>
      </w:r>
      <w:r>
        <w:rPr>
          <w:rFonts w:hint="default" w:ascii="Times New Roman" w:hAnsi="Times New Roman" w:eastAsia="仿宋_GB2312" w:cs="Times New Roman"/>
          <w:color w:val="auto"/>
          <w:sz w:val="32"/>
          <w:szCs w:val="32"/>
        </w:rPr>
        <w:t>元。</w:t>
      </w:r>
    </w:p>
    <w:p w14:paraId="26C7F228">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（七）招商引资工作经费（结转项目）</w:t>
      </w:r>
    </w:p>
    <w:p w14:paraId="69033F0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750036C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本项目主要用于招商引资举办专场招商活动产生的费用支出</w:t>
      </w:r>
      <w:r>
        <w:rPr>
          <w:rFonts w:hint="eastAsia" w:ascii="Times New Roman" w:hAnsi="Times New Roman" w:eastAsia="仿宋_GB2312" w:cs="Times New Roman"/>
          <w:color w:val="auto"/>
          <w:sz w:val="32"/>
          <w:szCs w:val="32"/>
          <w:lang w:eastAsia="zh-CN"/>
        </w:rPr>
        <w:t>。</w:t>
      </w:r>
    </w:p>
    <w:p w14:paraId="68BA219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5F7E6EE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《盟商务局关于申请拨付招商引资专项资金的请示》、盟长批示</w:t>
      </w:r>
      <w:r>
        <w:rPr>
          <w:rFonts w:hint="eastAsia" w:eastAsia="仿宋_GB2312" w:cs="Times New Roman"/>
          <w:color w:val="auto"/>
          <w:sz w:val="32"/>
          <w:szCs w:val="32"/>
          <w:lang w:eastAsia="zh-CN"/>
        </w:rPr>
        <w:t>。</w:t>
      </w:r>
    </w:p>
    <w:p w14:paraId="6FFD3C1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64D86E04">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17D1F28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2CD4DFE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预算，主要用于</w:t>
      </w:r>
      <w:r>
        <w:rPr>
          <w:rFonts w:hint="eastAsia" w:eastAsia="仿宋_GB2312" w:cs="Times New Roman"/>
          <w:color w:val="auto"/>
          <w:sz w:val="32"/>
          <w:szCs w:val="32"/>
          <w:lang w:eastAsia="zh-CN"/>
        </w:rPr>
        <w:t>招商引资工作产生的费用。</w:t>
      </w:r>
    </w:p>
    <w:p w14:paraId="345040A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2264883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61FAC53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45082F76">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17.17万</w:t>
      </w:r>
      <w:r>
        <w:rPr>
          <w:rFonts w:hint="default" w:ascii="Times New Roman" w:hAnsi="Times New Roman" w:eastAsia="仿宋_GB2312" w:cs="Times New Roman"/>
          <w:color w:val="auto"/>
          <w:sz w:val="32"/>
          <w:szCs w:val="32"/>
        </w:rPr>
        <w:t>元。</w:t>
      </w:r>
    </w:p>
    <w:p w14:paraId="5C6EDA20">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（八）能源行业安全生产培训与宣传费（结转项目）</w:t>
      </w:r>
    </w:p>
    <w:p w14:paraId="3F86F01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1DE3297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本项目主要用于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对盟本级和旗县市能源行业</w:t>
      </w:r>
      <w:r>
        <w:rPr>
          <w:rFonts w:hint="eastAsia" w:ascii="Times New Roman" w:hAnsi="Times New Roman" w:eastAsia="仿宋_GB2312" w:cs="Times New Roman"/>
          <w:color w:val="auto"/>
          <w:sz w:val="32"/>
          <w:szCs w:val="32"/>
          <w:lang w:val="en-US" w:eastAsia="zh-CN"/>
        </w:rPr>
        <w:t>工作人员</w:t>
      </w:r>
      <w:r>
        <w:rPr>
          <w:rFonts w:hint="default" w:ascii="Times New Roman" w:hAnsi="Times New Roman" w:eastAsia="仿宋_GB2312" w:cs="Times New Roman"/>
          <w:color w:val="auto"/>
          <w:sz w:val="32"/>
          <w:szCs w:val="32"/>
        </w:rPr>
        <w:t>进行集中培训。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开展安全生产月活动</w:t>
      </w:r>
      <w:r>
        <w:rPr>
          <w:rFonts w:hint="eastAsia" w:ascii="Times New Roman" w:hAnsi="Times New Roman" w:eastAsia="仿宋_GB2312" w:cs="Times New Roman"/>
          <w:color w:val="auto"/>
          <w:sz w:val="32"/>
          <w:szCs w:val="32"/>
          <w:lang w:eastAsia="zh-CN"/>
        </w:rPr>
        <w:t>。</w:t>
      </w:r>
    </w:p>
    <w:p w14:paraId="311C7EC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101458B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highlight w:val="yellow"/>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《内蒙古自治区党委自治区人民政府关于进一步加强安全生产工作的决定》《中共锡盟委 锡盟行署关于进一步加强和改进安全生产工作的决定》，建立健全安全生产监管执法人员定期轮训制度和定期参加专业化、系统化培训制度的要求；国家煤矿安全监察局《关于规范煤矿安全监管执法工作的意见》（煤安监监察﹝2018﹞32号）第八条 健全保障体系中的相关要求。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《安全生产法》第十一条 各级人民政府及其有关部门应当采取多种形式，加强对有关安全生产的法律、法规和安全生产知识的宣传，增强全社会的安全生产意识的要求；《中共中央国务院关于推进安全生产领域改革发展的意见》《内蒙古自治区党委自治区人民政府关于进一步加强安全生产工作的决定》《中共锡盟委 锡盟行署关于进一步加强和改进安全生产工作的决定》安全生产宣传有关要求；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关于印发《2023年能源行业“安全生产月”活动方案》的通知;锡林郭勒盟安全生产委员会办公室关于开展2023年安全生产月活动的通知</w:t>
      </w:r>
      <w:r>
        <w:rPr>
          <w:rFonts w:hint="eastAsia" w:ascii="Times New Roman" w:hAnsi="Times New Roman" w:eastAsia="仿宋_GB2312" w:cs="Times New Roman"/>
          <w:sz w:val="32"/>
          <w:szCs w:val="32"/>
          <w:lang w:val="en-US" w:eastAsia="zh-CN"/>
        </w:rPr>
        <w:t>。</w:t>
      </w:r>
    </w:p>
    <w:p w14:paraId="4A7B419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48BCB40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5B80701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2C49866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预算，主要用于</w:t>
      </w:r>
      <w:r>
        <w:rPr>
          <w:rFonts w:hint="eastAsia" w:ascii="Times New Roman" w:hAnsi="Times New Roman" w:eastAsia="仿宋_GB2312" w:cs="Times New Roman"/>
          <w:color w:val="auto"/>
          <w:kern w:val="2"/>
          <w:sz w:val="32"/>
          <w:szCs w:val="32"/>
          <w:lang w:val="en-US" w:eastAsia="zh-CN" w:bidi="ar-SA"/>
        </w:rPr>
        <w:t>聘请相关教授讲师，对盟本级和旗县市能源行业工作人员进行集中培训及开展20</w:t>
      </w:r>
      <w:r>
        <w:rPr>
          <w:rFonts w:hint="eastAsia" w:eastAsia="仿宋_GB2312" w:cs="Times New Roman"/>
          <w:color w:val="auto"/>
          <w:kern w:val="2"/>
          <w:sz w:val="32"/>
          <w:szCs w:val="32"/>
          <w:lang w:val="en-US" w:eastAsia="zh-CN" w:bidi="ar-SA"/>
        </w:rPr>
        <w:t>25</w:t>
      </w:r>
      <w:r>
        <w:rPr>
          <w:rFonts w:hint="eastAsia" w:ascii="Times New Roman" w:hAnsi="Times New Roman" w:eastAsia="仿宋_GB2312" w:cs="Times New Roman"/>
          <w:color w:val="auto"/>
          <w:kern w:val="2"/>
          <w:sz w:val="32"/>
          <w:szCs w:val="32"/>
          <w:lang w:val="en-US" w:eastAsia="zh-CN" w:bidi="ar-SA"/>
        </w:rPr>
        <w:t>年“安全生产月</w:t>
      </w:r>
      <w:r>
        <w:rPr>
          <w:rFonts w:hint="eastAsia" w:eastAsia="仿宋_GB2312" w:cs="Times New Roman"/>
          <w:color w:val="auto"/>
          <w:kern w:val="2"/>
          <w:sz w:val="32"/>
          <w:szCs w:val="32"/>
          <w:lang w:val="en-US" w:eastAsia="zh-CN" w:bidi="ar-SA"/>
        </w:rPr>
        <w:t>”活动</w:t>
      </w:r>
      <w:r>
        <w:rPr>
          <w:rFonts w:hint="eastAsia" w:ascii="Times New Roman" w:hAnsi="Times New Roman" w:eastAsia="仿宋_GB2312" w:cs="Times New Roman"/>
          <w:color w:val="auto"/>
          <w:kern w:val="2"/>
          <w:sz w:val="32"/>
          <w:szCs w:val="32"/>
          <w:lang w:val="en-US" w:eastAsia="zh-CN" w:bidi="ar-SA"/>
        </w:rPr>
        <w:t>费用</w:t>
      </w:r>
      <w:r>
        <w:rPr>
          <w:rFonts w:hint="eastAsia" w:eastAsia="仿宋_GB2312" w:cs="Times New Roman"/>
          <w:color w:val="auto"/>
          <w:sz w:val="32"/>
          <w:szCs w:val="32"/>
          <w:lang w:eastAsia="zh-CN"/>
        </w:rPr>
        <w:t>。</w:t>
      </w:r>
    </w:p>
    <w:p w14:paraId="22FD88F3">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7ADBCCD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493FF8B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0F696780">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22万</w:t>
      </w:r>
      <w:r>
        <w:rPr>
          <w:rFonts w:hint="default" w:ascii="Times New Roman" w:hAnsi="Times New Roman" w:eastAsia="仿宋_GB2312" w:cs="Times New Roman"/>
          <w:color w:val="auto"/>
          <w:sz w:val="32"/>
          <w:szCs w:val="32"/>
        </w:rPr>
        <w:t>元。</w:t>
      </w:r>
    </w:p>
    <w:p w14:paraId="51C64B94">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（九）能源业务工作（本年）</w:t>
      </w:r>
    </w:p>
    <w:p w14:paraId="2A3214B4">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5106489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能源项目审批、协调推进等工作产生的差旅费、车辆租赁费、燃料费、咨询费等；组织开展能源领域培训和宣传活动；党建活动、网络安全与信息化建设、软件正版化、信用体系、保密、档案管理等工作。</w:t>
      </w:r>
    </w:p>
    <w:p w14:paraId="5F376F4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71CDD87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共锡林郭勒盟委员会锡林郭勒盟行政公署印发《关于建设国家重要能源和战略资源基地的实施方案》的通知（锡党发〔2024〕12号）、中共锡林郭勒盟委员会机构编制委员会关于调整盟能源局职责编制的通知（锡机编委发（2024）72号）、关于调整盟能源局职责机构的通知（锡机编办发（2024）115号）、内蒙古自治区能源局关于印发2024年全区能源工作要点的通知（内能源规划字〔2024〕270号）、内蒙古自治区能源局关于印发《内蒙古自治区能源局全面落实“六个工程”实施方案》的通知（内能源综规字（2024）326号）、国家电力规划研究中心关于报送锡盟煤电基地“一交一直”输电通道后续配套电源规 （国电规〔2018〕3号）、关于印发内蒙古自治区“十四五”能源规划工作方案的通知内能综规字（2019）380号7页、关于印发《2024年全区能源行业“安全生产月”活动方案》的通知（内能源安全字〔2024〕348号）</w:t>
      </w:r>
      <w:r>
        <w:rPr>
          <w:rFonts w:hint="eastAsia" w:eastAsia="仿宋_GB2312" w:cs="Times New Roman"/>
          <w:color w:val="auto"/>
          <w:sz w:val="32"/>
          <w:szCs w:val="32"/>
          <w:lang w:val="en-US" w:eastAsia="zh-CN"/>
        </w:rPr>
        <w:t>。</w:t>
      </w:r>
    </w:p>
    <w:p w14:paraId="4723328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7B5E5E5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5957F30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6D6FC1E4">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用于支付</w:t>
      </w:r>
      <w:r>
        <w:rPr>
          <w:rFonts w:hint="default" w:ascii="Times New Roman" w:hAnsi="Times New Roman" w:eastAsia="仿宋_GB2312" w:cs="Times New Roman"/>
          <w:color w:val="auto"/>
          <w:sz w:val="32"/>
          <w:szCs w:val="32"/>
          <w:lang w:val="en-US" w:eastAsia="zh-CN"/>
        </w:rPr>
        <w:t>协调推进全盟各项能源业务工作产生的相关支出</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eastAsia="zh-CN"/>
        </w:rPr>
        <w:t>主要包括能源工作产生的差旅费、车辆租赁费、</w:t>
      </w:r>
      <w:r>
        <w:rPr>
          <w:rFonts w:hint="eastAsia" w:eastAsia="仿宋_GB2312" w:cs="Times New Roman"/>
          <w:color w:val="auto"/>
          <w:sz w:val="32"/>
          <w:szCs w:val="32"/>
          <w:lang w:val="en-US" w:eastAsia="zh-CN"/>
        </w:rPr>
        <w:t>委托业务费、印刷费</w:t>
      </w:r>
      <w:r>
        <w:rPr>
          <w:rFonts w:hint="eastAsia" w:eastAsia="仿宋_GB2312" w:cs="Times New Roman"/>
          <w:color w:val="auto"/>
          <w:sz w:val="32"/>
          <w:szCs w:val="32"/>
          <w:lang w:eastAsia="zh-CN"/>
        </w:rPr>
        <w:t>等；</w:t>
      </w:r>
      <w:r>
        <w:rPr>
          <w:rFonts w:hint="eastAsia" w:ascii="Times New Roman" w:hAnsi="Times New Roman" w:eastAsia="仿宋_GB2312" w:cs="Times New Roman"/>
          <w:color w:val="auto"/>
          <w:sz w:val="32"/>
          <w:szCs w:val="32"/>
          <w:lang w:val="en-US" w:eastAsia="zh-CN"/>
        </w:rPr>
        <w:t>开展安全生产宣传活动和能源领域培训产生的其他商品服务费、培训费等；</w:t>
      </w:r>
      <w:r>
        <w:rPr>
          <w:rFonts w:hint="default" w:ascii="Times New Roman" w:hAnsi="Times New Roman" w:eastAsia="仿宋_GB2312" w:cs="Times New Roman"/>
          <w:color w:val="auto"/>
          <w:sz w:val="32"/>
          <w:szCs w:val="32"/>
          <w:lang w:val="en-US" w:eastAsia="zh-CN"/>
        </w:rPr>
        <w:t>弥补机关日常运转所需公用经费不足</w:t>
      </w:r>
      <w:r>
        <w:rPr>
          <w:rFonts w:hint="eastAsia" w:eastAsia="仿宋_GB2312" w:cs="Times New Roman"/>
          <w:color w:val="auto"/>
          <w:sz w:val="32"/>
          <w:szCs w:val="32"/>
          <w:lang w:eastAsia="zh-CN"/>
        </w:rPr>
        <w:t>，主要包括办公费、</w:t>
      </w:r>
      <w:r>
        <w:rPr>
          <w:rFonts w:hint="eastAsia" w:eastAsia="仿宋_GB2312" w:cs="Times New Roman"/>
          <w:color w:val="auto"/>
          <w:sz w:val="32"/>
          <w:szCs w:val="32"/>
          <w:lang w:val="en-US" w:eastAsia="zh-CN"/>
        </w:rPr>
        <w:t>邮电费、公务接待费等</w:t>
      </w:r>
      <w:r>
        <w:rPr>
          <w:rFonts w:hint="eastAsia" w:eastAsia="仿宋_GB2312" w:cs="Times New Roman"/>
          <w:color w:val="auto"/>
          <w:sz w:val="32"/>
          <w:szCs w:val="32"/>
          <w:lang w:eastAsia="zh-CN"/>
        </w:rPr>
        <w:t>。</w:t>
      </w:r>
    </w:p>
    <w:p w14:paraId="3359B1B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43716FB3">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107050B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436EC05F">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方正仿宋_GBK" w:eastAsia="仿宋_GB2312" w:cs="方正仿宋_GBK"/>
          <w:bCs/>
          <w:i/>
          <w:iCs/>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140万</w:t>
      </w:r>
      <w:r>
        <w:rPr>
          <w:rFonts w:hint="default" w:ascii="Times New Roman" w:hAnsi="Times New Roman" w:eastAsia="仿宋_GB2312" w:cs="Times New Roman"/>
          <w:color w:val="auto"/>
          <w:sz w:val="32"/>
          <w:szCs w:val="32"/>
        </w:rPr>
        <w:t>元。</w:t>
      </w:r>
    </w:p>
    <w:p w14:paraId="6BF2E2A9">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十一、</w:t>
      </w:r>
      <w:r>
        <w:rPr>
          <w:rFonts w:hint="eastAsia" w:eastAsia="黑体" w:cs="黑体"/>
          <w:b w:val="0"/>
          <w:bCs w:val="0"/>
          <w:sz w:val="32"/>
          <w:szCs w:val="36"/>
        </w:rPr>
        <w:t>一般公共预算机关运行经费支出预算情况说明</w:t>
      </w:r>
    </w:p>
    <w:p w14:paraId="219409DA">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u w:val="single"/>
          <w:lang w:val="en-US" w:eastAsia="zh-CN"/>
        </w:rPr>
        <w:t>2025</w:t>
      </w:r>
      <w:r>
        <w:rPr>
          <w:rFonts w:hint="default" w:ascii="Times New Roman" w:hAnsi="Times New Roman" w:eastAsia="仿宋_GB2312" w:cs="Times New Roman"/>
          <w:sz w:val="32"/>
          <w:szCs w:val="32"/>
          <w:u w:val="single"/>
        </w:rPr>
        <w:t>年部门</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123.07</w:t>
      </w:r>
      <w:r>
        <w:rPr>
          <w:rFonts w:hint="default" w:ascii="Times New Roman" w:hAnsi="Times New Roman" w:eastAsia="仿宋_GB2312" w:cs="Times New Roman"/>
          <w:sz w:val="32"/>
          <w:szCs w:val="32"/>
        </w:rPr>
        <w:t>万元，主要包括以下支出：办公费</w:t>
      </w:r>
      <w:r>
        <w:rPr>
          <w:rFonts w:hint="eastAsia" w:ascii="Times New Roman" w:hAnsi="Times New Roman" w:eastAsia="仿宋_GB2312" w:cs="Times New Roman"/>
          <w:sz w:val="32"/>
          <w:szCs w:val="32"/>
          <w:lang w:val="en-US" w:eastAsia="zh-CN"/>
        </w:rPr>
        <w:t>3.5万元</w:t>
      </w:r>
      <w:r>
        <w:rPr>
          <w:rFonts w:hint="eastAsia" w:eastAsia="仿宋_GB2312" w:cs="Times New Roman"/>
          <w:sz w:val="32"/>
          <w:szCs w:val="32"/>
          <w:lang w:eastAsia="zh-CN"/>
        </w:rPr>
        <w:t>、邮电费</w:t>
      </w:r>
      <w:r>
        <w:rPr>
          <w:rFonts w:hint="eastAsia" w:eastAsia="仿宋_GB2312" w:cs="Times New Roman"/>
          <w:sz w:val="32"/>
          <w:szCs w:val="32"/>
          <w:lang w:val="en-US" w:eastAsia="zh-CN"/>
        </w:rPr>
        <w:t>0.5万元</w:t>
      </w:r>
      <w:r>
        <w:rPr>
          <w:rFonts w:hint="eastAsia" w:eastAsia="仿宋_GB2312" w:cs="Times New Roman"/>
          <w:sz w:val="32"/>
          <w:szCs w:val="32"/>
          <w:lang w:eastAsia="zh-CN"/>
        </w:rPr>
        <w:t>、物业管理费</w:t>
      </w:r>
      <w:r>
        <w:rPr>
          <w:rFonts w:hint="eastAsia" w:eastAsia="仿宋_GB2312" w:cs="Times New Roman"/>
          <w:sz w:val="32"/>
          <w:szCs w:val="32"/>
          <w:lang w:val="en-US" w:eastAsia="zh-CN"/>
        </w:rPr>
        <w:t>10万元</w:t>
      </w:r>
      <w:r>
        <w:rPr>
          <w:rFonts w:hint="eastAsia" w:eastAsia="仿宋_GB2312" w:cs="Times New Roman"/>
          <w:sz w:val="32"/>
          <w:szCs w:val="32"/>
          <w:lang w:eastAsia="zh-CN"/>
        </w:rPr>
        <w:t>、租赁费</w:t>
      </w:r>
      <w:r>
        <w:rPr>
          <w:rFonts w:hint="eastAsia" w:eastAsia="仿宋_GB2312" w:cs="Times New Roman"/>
          <w:sz w:val="32"/>
          <w:szCs w:val="32"/>
          <w:lang w:val="en-US" w:eastAsia="zh-CN"/>
        </w:rPr>
        <w:t>57.15万元</w:t>
      </w:r>
      <w:r>
        <w:rPr>
          <w:rFonts w:hint="eastAsia" w:eastAsia="仿宋_GB2312" w:cs="Times New Roman"/>
          <w:sz w:val="32"/>
          <w:szCs w:val="32"/>
          <w:lang w:eastAsia="zh-CN"/>
        </w:rPr>
        <w:t>、公务接待费</w:t>
      </w:r>
      <w:r>
        <w:rPr>
          <w:rFonts w:hint="eastAsia" w:eastAsia="仿宋_GB2312" w:cs="Times New Roman"/>
          <w:sz w:val="32"/>
          <w:szCs w:val="32"/>
          <w:lang w:val="en-US" w:eastAsia="zh-CN"/>
        </w:rPr>
        <w:t>0.8万元</w:t>
      </w:r>
      <w:r>
        <w:rPr>
          <w:rFonts w:hint="eastAsia" w:eastAsia="仿宋_GB2312" w:cs="Times New Roman"/>
          <w:sz w:val="32"/>
          <w:szCs w:val="32"/>
          <w:lang w:eastAsia="zh-CN"/>
        </w:rPr>
        <w:t>、工会经费</w:t>
      </w:r>
      <w:r>
        <w:rPr>
          <w:rFonts w:hint="eastAsia" w:eastAsia="仿宋_GB2312" w:cs="Times New Roman"/>
          <w:sz w:val="32"/>
          <w:szCs w:val="32"/>
          <w:lang w:val="en-US" w:eastAsia="zh-CN"/>
        </w:rPr>
        <w:t>9.28万元</w:t>
      </w:r>
      <w:r>
        <w:rPr>
          <w:rFonts w:hint="eastAsia" w:eastAsia="仿宋_GB2312" w:cs="Times New Roman"/>
          <w:sz w:val="32"/>
          <w:szCs w:val="32"/>
          <w:lang w:eastAsia="zh-CN"/>
        </w:rPr>
        <w:t>、福利费</w:t>
      </w:r>
      <w:r>
        <w:rPr>
          <w:rFonts w:hint="eastAsia" w:eastAsia="仿宋_GB2312" w:cs="Times New Roman"/>
          <w:sz w:val="32"/>
          <w:szCs w:val="32"/>
          <w:lang w:val="en-US" w:eastAsia="zh-CN"/>
        </w:rPr>
        <w:t>11.47万元</w:t>
      </w:r>
      <w:r>
        <w:rPr>
          <w:rFonts w:hint="eastAsia" w:eastAsia="仿宋_GB2312" w:cs="Times New Roman"/>
          <w:sz w:val="32"/>
          <w:szCs w:val="32"/>
          <w:lang w:eastAsia="zh-CN"/>
        </w:rPr>
        <w:t>、公务用车运行维护费</w:t>
      </w:r>
      <w:r>
        <w:rPr>
          <w:rFonts w:hint="eastAsia" w:eastAsia="仿宋_GB2312" w:cs="Times New Roman"/>
          <w:sz w:val="32"/>
          <w:szCs w:val="32"/>
          <w:lang w:val="en-US" w:eastAsia="zh-CN"/>
        </w:rPr>
        <w:t>13万元</w:t>
      </w:r>
      <w:r>
        <w:rPr>
          <w:rFonts w:hint="eastAsia" w:eastAsia="仿宋_GB2312" w:cs="Times New Roman"/>
          <w:sz w:val="32"/>
          <w:szCs w:val="32"/>
          <w:lang w:eastAsia="zh-CN"/>
        </w:rPr>
        <w:t>、其他交通费用</w:t>
      </w:r>
      <w:r>
        <w:rPr>
          <w:rFonts w:hint="eastAsia" w:eastAsia="仿宋_GB2312" w:cs="Times New Roman"/>
          <w:sz w:val="32"/>
          <w:szCs w:val="32"/>
          <w:lang w:val="en-US" w:eastAsia="zh-CN"/>
        </w:rPr>
        <w:t>12.78万元</w:t>
      </w:r>
      <w:r>
        <w:rPr>
          <w:rFonts w:hint="eastAsia" w:eastAsia="仿宋_GB2312" w:cs="Times New Roman"/>
          <w:sz w:val="32"/>
          <w:szCs w:val="32"/>
          <w:lang w:eastAsia="zh-CN"/>
        </w:rPr>
        <w:t>、其他商品和服务支出</w:t>
      </w:r>
      <w:r>
        <w:rPr>
          <w:rFonts w:hint="eastAsia"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lang w:eastAsia="zh-CN"/>
        </w:rPr>
        <w:t>万元</w:t>
      </w:r>
      <w:r>
        <w:rPr>
          <w:rFonts w:hint="eastAsia" w:eastAsia="仿宋_GB2312" w:cstheme="minorBidi"/>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上年相比减少</w:t>
      </w:r>
      <w:r>
        <w:rPr>
          <w:rFonts w:hint="eastAsia" w:eastAsia="仿宋_GB2312" w:cs="Times New Roman"/>
          <w:sz w:val="32"/>
          <w:szCs w:val="32"/>
          <w:u w:val="single"/>
          <w:lang w:val="en-US" w:eastAsia="zh-CN"/>
        </w:rPr>
        <w:t>30.57</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19.9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2024年4月原二级事业单位锡林郭勒盟能源管理综合行政执法支队因机构改革已撤销。</w:t>
      </w:r>
    </w:p>
    <w:p w14:paraId="6ED2E60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eastAsia="仿宋_GB2312" w:cstheme="minorBidi"/>
          <w:sz w:val="32"/>
          <w:szCs w:val="32"/>
          <w:highlight w:val="yellow"/>
        </w:rPr>
      </w:pPr>
      <w:r>
        <w:rPr>
          <w:rFonts w:hint="eastAsia" w:eastAsia="黑体" w:cs="黑体"/>
          <w:b w:val="0"/>
          <w:bCs w:val="0"/>
          <w:sz w:val="32"/>
          <w:szCs w:val="36"/>
          <w:lang w:val="en-US" w:eastAsia="zh-CN"/>
        </w:rPr>
        <w:t>十二、</w:t>
      </w:r>
      <w:r>
        <w:rPr>
          <w:rFonts w:hint="eastAsia" w:eastAsia="黑体" w:cs="黑体"/>
          <w:b w:val="0"/>
          <w:bCs w:val="0"/>
          <w:sz w:val="32"/>
          <w:szCs w:val="36"/>
        </w:rPr>
        <w:t>政府采购支出预算情况说明</w:t>
      </w:r>
    </w:p>
    <w:p w14:paraId="0FB1E03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lang w:val="en-US" w:eastAsia="zh-CN"/>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367</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365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涵盖“复印纸”、</w:t>
      </w:r>
      <w:r>
        <w:rPr>
          <w:rFonts w:hint="eastAsia" w:eastAsia="仿宋_GB2312" w:cs="Times New Roman"/>
          <w:color w:val="auto"/>
          <w:sz w:val="32"/>
          <w:szCs w:val="32"/>
          <w:lang w:eastAsia="zh-CN"/>
        </w:rPr>
        <w:t>“印刷服务”、“保险服务”、“行业规划服务”、“专业技术服务”、“物业管理服务”、“车辆加油、添加燃料服务”</w:t>
      </w:r>
      <w:r>
        <w:rPr>
          <w:rFonts w:hint="default" w:ascii="Times New Roman" w:hAnsi="Times New Roman" w:eastAsia="仿宋_GB2312" w:cs="Times New Roman"/>
          <w:color w:val="auto"/>
          <w:sz w:val="32"/>
          <w:szCs w:val="32"/>
        </w:rPr>
        <w:t>等采购大类，编制政府采购预算明细</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项，采购金额来源为</w:t>
      </w:r>
      <w:r>
        <w:rPr>
          <w:rFonts w:hint="eastAsia" w:eastAsia="仿宋_GB2312" w:cs="Times New Roman"/>
          <w:color w:val="auto"/>
          <w:sz w:val="32"/>
          <w:szCs w:val="32"/>
          <w:lang w:eastAsia="zh-CN"/>
        </w:rPr>
        <w:t>项目资金及公用经费。</w:t>
      </w:r>
      <w:r>
        <w:rPr>
          <w:rFonts w:hint="eastAsia" w:eastAsia="黑体" w:cs="黑体"/>
          <w:b w:val="0"/>
          <w:bCs w:val="0"/>
          <w:sz w:val="32"/>
          <w:szCs w:val="36"/>
          <w:lang w:val="en-US" w:eastAsia="zh-CN"/>
        </w:rPr>
        <w:t xml:space="preserve">    </w:t>
      </w:r>
    </w:p>
    <w:p w14:paraId="6994700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rPr>
      </w:pP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14:paraId="05A4ADF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14:paraId="453DA15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eastAsia="仿宋_GB2312" w:cstheme="minorBidi"/>
          <w:sz w:val="32"/>
          <w:szCs w:val="32"/>
        </w:rPr>
      </w:pP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14:paraId="58AAF49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微软雅黑" w:hAnsi="微软雅黑" w:eastAsia="微软雅黑" w:cs="微软雅黑"/>
          <w:sz w:val="36"/>
          <w:szCs w:val="36"/>
        </w:rPr>
      </w:pPr>
      <w:r>
        <w:rPr>
          <w:rFonts w:hint="eastAsia" w:eastAsia="仿宋_GB2312" w:cstheme="minorBidi"/>
          <w:sz w:val="32"/>
          <w:szCs w:val="32"/>
          <w:lang w:val="en-US" w:eastAsia="zh-CN"/>
        </w:rPr>
        <w:t>2025</w:t>
      </w:r>
      <w:r>
        <w:rPr>
          <w:rFonts w:hint="eastAsia" w:eastAsia="仿宋_GB2312" w:cstheme="minorBidi"/>
          <w:sz w:val="32"/>
          <w:szCs w:val="32"/>
        </w:rPr>
        <w:t>年，填报绩效目标的预算项目</w:t>
      </w:r>
      <w:r>
        <w:rPr>
          <w:rFonts w:hint="eastAsia" w:eastAsia="仿宋_GB2312" w:cstheme="minorBidi"/>
          <w:sz w:val="32"/>
          <w:szCs w:val="32"/>
          <w:u w:val="single"/>
          <w:lang w:val="en-US" w:eastAsia="zh-CN"/>
        </w:rPr>
        <w:t>9</w:t>
      </w:r>
      <w:r>
        <w:rPr>
          <w:rFonts w:hint="eastAsia" w:eastAsia="仿宋_GB2312" w:cstheme="minorBidi"/>
          <w:sz w:val="32"/>
          <w:szCs w:val="32"/>
        </w:rPr>
        <w:t>个，公开绩效目标</w:t>
      </w:r>
      <w:r>
        <w:rPr>
          <w:rFonts w:hint="eastAsia" w:eastAsia="仿宋_GB2312" w:cstheme="minorBidi"/>
          <w:sz w:val="32"/>
          <w:szCs w:val="32"/>
          <w:u w:val="single"/>
          <w:lang w:val="en-US" w:eastAsia="zh-CN"/>
        </w:rPr>
        <w:t>9</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lang w:val="en-US" w:eastAsia="zh-CN"/>
        </w:rPr>
        <w:t>940.39</w:t>
      </w:r>
      <w:r>
        <w:rPr>
          <w:rFonts w:hint="eastAsia" w:eastAsia="仿宋_GB2312" w:cstheme="minorBidi"/>
          <w:sz w:val="32"/>
          <w:szCs w:val="32"/>
        </w:rPr>
        <w:t>万元，占全部项目预算的100%。</w:t>
      </w:r>
    </w:p>
    <w:p w14:paraId="2E8BE2AF">
      <w:pPr>
        <w:pStyle w:val="6"/>
        <w:pageBreakBefore w:val="0"/>
        <w:tabs>
          <w:tab w:val="left" w:pos="4392"/>
        </w:tabs>
        <w:kinsoku/>
        <w:wordWrap/>
        <w:overflowPunct/>
        <w:topLinePunct w:val="0"/>
        <w:bidi w:val="0"/>
        <w:spacing w:before="0" w:after="0" w:line="600" w:lineRule="exact"/>
        <w:ind w:firstLine="720" w:firstLineChars="200"/>
        <w:jc w:val="center"/>
        <w:rPr>
          <w:rFonts w:hint="eastAsia" w:ascii="微软雅黑" w:hAnsi="微软雅黑" w:eastAsia="微软雅黑" w:cs="微软雅黑"/>
          <w:b w:val="0"/>
          <w:bCs w:val="0"/>
          <w:sz w:val="36"/>
          <w:szCs w:val="36"/>
        </w:rPr>
      </w:pPr>
    </w:p>
    <w:p w14:paraId="59FAD425">
      <w:pP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br w:type="page"/>
      </w:r>
    </w:p>
    <w:p w14:paraId="216EB1FB">
      <w:pPr>
        <w:pStyle w:val="6"/>
        <w:pageBreakBefore w:val="0"/>
        <w:tabs>
          <w:tab w:val="left" w:pos="4392"/>
        </w:tabs>
        <w:kinsoku/>
        <w:wordWrap/>
        <w:overflowPunct/>
        <w:topLinePunct w:val="0"/>
        <w:bidi w:val="0"/>
        <w:spacing w:before="0" w:after="0" w:line="600" w:lineRule="exact"/>
        <w:ind w:firstLine="720" w:firstLineChars="200"/>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第三部分   名词解释</w:t>
      </w:r>
    </w:p>
    <w:p w14:paraId="15292C6F">
      <w:pPr>
        <w:rPr>
          <w:sz w:val="36"/>
          <w:szCs w:val="36"/>
        </w:rPr>
      </w:pPr>
    </w:p>
    <w:p w14:paraId="15A59623">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14:paraId="41994349">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14:paraId="3F5035B0">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14:paraId="117262A4">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14:paraId="75D5B82C">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14:paraId="6E75C433">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14:paraId="186FE6FF">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14:paraId="024D551E">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296CAAEC">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4F3CC69">
      <w:pPr>
        <w:pageBreakBefore w:val="0"/>
        <w:kinsoku/>
        <w:wordWrap/>
        <w:overflowPunct/>
        <w:topLinePunct w:val="0"/>
        <w:bidi w:val="0"/>
        <w:spacing w:line="600" w:lineRule="exact"/>
        <w:ind w:firstLine="643" w:firstLineChars="200"/>
        <w:rPr>
          <w:rFonts w:eastAsia="仿宋_GB2312" w:cstheme="minorBidi"/>
          <w:b/>
          <w:bCs/>
          <w:sz w:val="32"/>
          <w:szCs w:val="32"/>
        </w:rPr>
      </w:pPr>
    </w:p>
    <w:p w14:paraId="5EA2665F">
      <w:pPr>
        <w:pageBreakBefore w:val="0"/>
        <w:kinsoku/>
        <w:wordWrap/>
        <w:overflowPunct/>
        <w:topLinePunct w:val="0"/>
        <w:bidi w:val="0"/>
        <w:spacing w:line="600" w:lineRule="exact"/>
        <w:jc w:val="center"/>
        <w:rPr>
          <w:rFonts w:hint="eastAsia" w:ascii="微软雅黑" w:hAnsi="微软雅黑" w:eastAsia="微软雅黑" w:cs="微软雅黑"/>
          <w:b w:val="0"/>
          <w:bCs w:val="0"/>
          <w:sz w:val="36"/>
          <w:szCs w:val="36"/>
        </w:rPr>
      </w:pPr>
    </w:p>
    <w:p w14:paraId="3C46E70E">
      <w:pPr>
        <w:pageBreakBefore w:val="0"/>
        <w:kinsoku/>
        <w:wordWrap/>
        <w:overflowPunct/>
        <w:topLinePunct w:val="0"/>
        <w:bidi w:val="0"/>
        <w:spacing w:line="600" w:lineRule="exact"/>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第四部分</w:t>
      </w:r>
      <w:r>
        <w:rPr>
          <w:rFonts w:hint="eastAsia" w:ascii="仿宋" w:hAnsi="仿宋" w:eastAsia="仿宋" w:cs="仿宋"/>
          <w:b w:val="0"/>
          <w:bCs w:val="0"/>
          <w:sz w:val="36"/>
          <w:szCs w:val="36"/>
        </w:rPr>
        <w:t xml:space="preserve"> </w:t>
      </w:r>
      <w:r>
        <w:rPr>
          <w:rFonts w:hint="eastAsia" w:ascii="微软雅黑" w:hAnsi="微软雅黑" w:eastAsia="微软雅黑" w:cs="微软雅黑"/>
          <w:b w:val="0"/>
          <w:bCs w:val="0"/>
          <w:sz w:val="36"/>
          <w:szCs w:val="36"/>
        </w:rPr>
        <w:t>预算公开联系方式及信息反馈渠道</w:t>
      </w:r>
    </w:p>
    <w:p w14:paraId="49EC7962">
      <w:pPr>
        <w:pageBreakBefore w:val="0"/>
        <w:kinsoku/>
        <w:wordWrap/>
        <w:overflowPunct/>
        <w:topLinePunct w:val="0"/>
        <w:bidi w:val="0"/>
        <w:snapToGrid w:val="0"/>
        <w:spacing w:line="600" w:lineRule="exact"/>
        <w:rPr>
          <w:rFonts w:hint="eastAsia" w:ascii="微软雅黑" w:hAnsi="微软雅黑" w:eastAsia="微软雅黑" w:cs="微软雅黑"/>
          <w:sz w:val="36"/>
          <w:szCs w:val="36"/>
        </w:rPr>
      </w:pPr>
    </w:p>
    <w:p w14:paraId="51D812E8">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2AA20165">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乌日古木乐</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8100359</w:t>
      </w:r>
    </w:p>
    <w:p w14:paraId="4385DF81">
      <w:pPr>
        <w:pStyle w:val="6"/>
        <w:pageBreakBefore w:val="0"/>
        <w:tabs>
          <w:tab w:val="left" w:pos="4392"/>
        </w:tabs>
        <w:kinsoku/>
        <w:wordWrap/>
        <w:overflowPunct/>
        <w:topLinePunct w:val="0"/>
        <w:bidi w:val="0"/>
        <w:spacing w:before="0" w:after="0" w:line="600" w:lineRule="exact"/>
        <w:jc w:val="center"/>
        <w:rPr>
          <w:sz w:val="23"/>
        </w:rPr>
      </w:pPr>
      <w:r>
        <w:rPr>
          <w:rFonts w:hint="eastAsia" w:ascii="微软雅黑" w:hAnsi="微软雅黑" w:eastAsia="微软雅黑" w:cs="微软雅黑"/>
          <w:b w:val="0"/>
          <w:bCs w:val="0"/>
          <w:sz w:val="36"/>
          <w:szCs w:val="36"/>
        </w:rPr>
        <w:t xml:space="preserve">第五部分  </w:t>
      </w:r>
      <w:r>
        <w:rPr>
          <w:rFonts w:hint="eastAsia" w:ascii="微软雅黑" w:hAnsi="微软雅黑" w:eastAsia="微软雅黑" w:cs="微软雅黑"/>
          <w:b w:val="0"/>
          <w:bCs w:val="0"/>
          <w:sz w:val="36"/>
          <w:szCs w:val="36"/>
          <w:lang w:val="en-US" w:eastAsia="zh-CN"/>
        </w:rPr>
        <w:t>2025</w:t>
      </w:r>
      <w:r>
        <w:rPr>
          <w:rFonts w:hint="eastAsia" w:ascii="微软雅黑" w:hAnsi="微软雅黑" w:eastAsia="微软雅黑" w:cs="微软雅黑"/>
          <w:b w:val="0"/>
          <w:bCs w:val="0"/>
          <w:sz w:val="36"/>
          <w:szCs w:val="36"/>
        </w:rPr>
        <w:t>年度</w:t>
      </w:r>
      <w:r>
        <w:rPr>
          <w:rFonts w:hint="eastAsia" w:ascii="微软雅黑" w:hAnsi="微软雅黑" w:eastAsia="微软雅黑" w:cs="微软雅黑"/>
          <w:b w:val="0"/>
          <w:bCs w:val="0"/>
          <w:sz w:val="36"/>
          <w:szCs w:val="36"/>
          <w:lang w:val="en-US" w:eastAsia="zh-CN"/>
        </w:rPr>
        <w:t>锡林郭勒盟能源局</w:t>
      </w:r>
      <w:r>
        <w:rPr>
          <w:rFonts w:hint="eastAsia" w:ascii="微软雅黑" w:hAnsi="微软雅黑" w:eastAsia="微软雅黑" w:cs="微软雅黑"/>
          <w:b w:val="0"/>
          <w:bCs w:val="0"/>
          <w:sz w:val="36"/>
          <w:szCs w:val="36"/>
        </w:rPr>
        <w:t>部门预算表</w:t>
      </w:r>
    </w:p>
    <w:p w14:paraId="13BFE413">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8C4E497-489A-4929-96A4-F537C1479DA5}"/>
  </w:font>
  <w:font w:name="黑体">
    <w:panose1 w:val="02010609060101010101"/>
    <w:charset w:val="86"/>
    <w:family w:val="auto"/>
    <w:pitch w:val="default"/>
    <w:sig w:usb0="800002BF" w:usb1="38CF7CFA" w:usb2="00000016" w:usb3="00000000" w:csb0="00040001" w:csb1="00000000"/>
    <w:embedRegular r:id="rId2" w:fontKey="{D52C2592-40B3-4B2A-B4C1-2BE0C03804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BFCE1557-06A8-4B94-A478-33C67A08D7CA}"/>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7D7E8C59-6EAF-41B5-AF7C-B518B7B97772}"/>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5" w:fontKey="{2DFAAC91-A8D5-462E-911B-97FC77F9A682}"/>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6" w:fontKey="{EEF6087C-52A8-4F2A-8212-901FCDC25AC9}"/>
  </w:font>
  <w:font w:name="华文仿宋">
    <w:panose1 w:val="02010600040101010101"/>
    <w:charset w:val="86"/>
    <w:family w:val="auto"/>
    <w:pitch w:val="default"/>
    <w:sig w:usb0="00000287" w:usb1="080F0000" w:usb2="00000000" w:usb3="00000000" w:csb0="0004009F" w:csb1="DFD70000"/>
    <w:embedRegular r:id="rId7" w:fontKey="{D7F5FB14-9F2B-489F-9EA0-081581FA352A}"/>
  </w:font>
  <w:font w:name="楷体_GB2312">
    <w:panose1 w:val="02010609030101010101"/>
    <w:charset w:val="86"/>
    <w:family w:val="auto"/>
    <w:pitch w:val="default"/>
    <w:sig w:usb0="00000001" w:usb1="080E0000" w:usb2="00000000" w:usb3="00000000" w:csb0="00040000" w:csb1="00000000"/>
    <w:embedRegular r:id="rId8" w:fontKey="{174B9CA8-B56A-4040-B4D6-C493DF5562A4}"/>
  </w:font>
  <w:font w:name="楷体">
    <w:panose1 w:val="02010609060101010101"/>
    <w:charset w:val="86"/>
    <w:family w:val="decorative"/>
    <w:pitch w:val="default"/>
    <w:sig w:usb0="800002BF" w:usb1="38CF7CFA" w:usb2="00000016" w:usb3="00000000" w:csb0="00040001" w:csb1="00000000"/>
    <w:embedRegular r:id="rId9" w:fontKey="{C9CEEFAB-CC3D-4F14-9BB8-E6C2AEE8F97C}"/>
  </w:font>
  <w:font w:name="方正仿宋_GBK">
    <w:altName w:val="微软雅黑"/>
    <w:panose1 w:val="02000000000000000000"/>
    <w:charset w:val="86"/>
    <w:family w:val="auto"/>
    <w:pitch w:val="default"/>
    <w:sig w:usb0="00000000" w:usb1="00000000" w:usb2="00000000" w:usb3="00000000" w:csb0="00040000" w:csb1="00000000"/>
    <w:embedRegular r:id="rId10" w:fontKey="{F19402E6-3A09-4DEF-B571-AC006FD1BA44}"/>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B431">
    <w:pPr>
      <w:pStyle w:val="12"/>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8E832">
                          <w:pPr>
                            <w:pStyle w:val="12"/>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14:paraId="4AA8E832">
                    <w:pPr>
                      <w:pStyle w:val="12"/>
                    </w:pPr>
                    <w:r>
                      <w:fldChar w:fldCharType="begin"/>
                    </w:r>
                    <w:r>
                      <w:instrText xml:space="preserve"> PAGE  \* MERGEFORMAT </w:instrText>
                    </w:r>
                    <w:r>
                      <w:fldChar w:fldCharType="separate"/>
                    </w:r>
                    <w:r>
                      <w:t>- 19 -</w:t>
                    </w:r>
                    <w:r>
                      <w:fldChar w:fldCharType="end"/>
                    </w:r>
                  </w:p>
                </w:txbxContent>
              </v:textbox>
            </v:shape>
          </w:pict>
        </mc:Fallback>
      </mc:AlternateContent>
    </w:r>
  </w:p>
  <w:p w14:paraId="6144FB1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EFBA">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438EC"/>
    <w:multiLevelType w:val="singleLevel"/>
    <w:tmpl w:val="F1B438EC"/>
    <w:lvl w:ilvl="0" w:tentative="0">
      <w:start w:val="1"/>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4EC74364"/>
    <w:multiLevelType w:val="singleLevel"/>
    <w:tmpl w:val="4EC743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770389"/>
    <w:rsid w:val="048320BB"/>
    <w:rsid w:val="04B563C2"/>
    <w:rsid w:val="05531A54"/>
    <w:rsid w:val="05F92C68"/>
    <w:rsid w:val="06571B7A"/>
    <w:rsid w:val="077111CE"/>
    <w:rsid w:val="0772575A"/>
    <w:rsid w:val="07DA3A8F"/>
    <w:rsid w:val="089D7C92"/>
    <w:rsid w:val="09C92DD3"/>
    <w:rsid w:val="09CF6E4B"/>
    <w:rsid w:val="0B6B045B"/>
    <w:rsid w:val="0BD554C2"/>
    <w:rsid w:val="0CC47EE3"/>
    <w:rsid w:val="0E7B4525"/>
    <w:rsid w:val="10767327"/>
    <w:rsid w:val="11304CEB"/>
    <w:rsid w:val="11AF4DCB"/>
    <w:rsid w:val="12910C6D"/>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19C2D85"/>
    <w:rsid w:val="224109E7"/>
    <w:rsid w:val="22A144DF"/>
    <w:rsid w:val="22EB689E"/>
    <w:rsid w:val="2472310C"/>
    <w:rsid w:val="249C2E00"/>
    <w:rsid w:val="25A55A2E"/>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52115A"/>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9C63C5D"/>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60976762"/>
    <w:rsid w:val="615674ED"/>
    <w:rsid w:val="61744EA1"/>
    <w:rsid w:val="63305EC0"/>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4F57957"/>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9C372F"/>
    <w:rsid w:val="7FAF396D"/>
    <w:rsid w:val="E46DF715"/>
    <w:rsid w:val="EBBBE663"/>
    <w:rsid w:val="F37E4044"/>
    <w:rsid w:val="F5D5012D"/>
    <w:rsid w:val="FF771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3">
    <w:name w:val="heading 1"/>
    <w:basedOn w:val="1"/>
    <w:next w:val="1"/>
    <w:qFormat/>
    <w:uiPriority w:val="1"/>
    <w:pPr>
      <w:keepNext/>
      <w:keepLines/>
      <w:spacing w:before="340" w:after="330" w:line="576" w:lineRule="auto"/>
      <w:outlineLvl w:val="0"/>
    </w:pPr>
    <w:rPr>
      <w:b/>
      <w:kern w:val="44"/>
      <w:sz w:val="44"/>
    </w:rPr>
  </w:style>
  <w:style w:type="paragraph" w:styleId="4">
    <w:name w:val="heading 2"/>
    <w:basedOn w:val="1"/>
    <w:next w:val="1"/>
    <w:link w:val="3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5">
    <w:name w:val="heading 3"/>
    <w:basedOn w:val="1"/>
    <w:next w:val="1"/>
    <w:unhideWhenUsed/>
    <w:qFormat/>
    <w:uiPriority w:val="1"/>
    <w:pPr>
      <w:keepNext/>
      <w:keepLines/>
      <w:spacing w:before="260" w:after="260" w:line="413" w:lineRule="auto"/>
      <w:outlineLvl w:val="2"/>
    </w:pPr>
    <w:rPr>
      <w:b/>
      <w:sz w:val="32"/>
    </w:rPr>
  </w:style>
  <w:style w:type="paragraph" w:styleId="6">
    <w:name w:val="heading 4"/>
    <w:basedOn w:val="1"/>
    <w:next w:val="1"/>
    <w:link w:val="3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4"/>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1"/>
    <w:pPr>
      <w:spacing w:after="120"/>
    </w:pPr>
  </w:style>
  <w:style w:type="paragraph" w:styleId="8">
    <w:name w:val="Normal Indent"/>
    <w:basedOn w:val="1"/>
    <w:next w:val="2"/>
    <w:qFormat/>
    <w:uiPriority w:val="0"/>
    <w:pPr>
      <w:spacing w:line="360" w:lineRule="auto"/>
      <w:ind w:firstLine="420" w:firstLineChars="200"/>
      <w:jc w:val="left"/>
    </w:pPr>
    <w:rPr>
      <w:rFonts w:ascii="仿宋_GB2312" w:hAnsi="Arial" w:eastAsia="仿宋_GB2312"/>
      <w:kern w:val="0"/>
      <w:sz w:val="30"/>
      <w:szCs w:val="30"/>
    </w:rPr>
  </w:style>
  <w:style w:type="paragraph" w:styleId="9">
    <w:name w:val="annotation text"/>
    <w:basedOn w:val="1"/>
    <w:link w:val="27"/>
    <w:unhideWhenUsed/>
    <w:qFormat/>
    <w:uiPriority w:val="99"/>
    <w:pPr>
      <w:jc w:val="left"/>
    </w:pPr>
  </w:style>
  <w:style w:type="paragraph" w:styleId="10">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11">
    <w:name w:val="Balloon Text"/>
    <w:basedOn w:val="1"/>
    <w:link w:val="37"/>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5">
    <w:name w:val="Subtitle"/>
    <w:basedOn w:val="1"/>
    <w:next w:val="1"/>
    <w:link w:val="30"/>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7">
    <w:name w:val="annotation subject"/>
    <w:basedOn w:val="9"/>
    <w:next w:val="9"/>
    <w:link w:val="28"/>
    <w:unhideWhenUsed/>
    <w:qFormat/>
    <w:uiPriority w:val="99"/>
    <w:rPr>
      <w:b/>
      <w:bCs/>
    </w:rPr>
  </w:style>
  <w:style w:type="paragraph" w:styleId="18">
    <w:name w:val="Body Text First Indent"/>
    <w:basedOn w:val="2"/>
    <w:qFormat/>
    <w:uiPriority w:val="99"/>
    <w:pPr>
      <w:ind w:firstLine="884"/>
      <w:jc w:val="both"/>
    </w:pPr>
    <w:rPr>
      <w:rFonts w:eastAsia="宋体"/>
      <w:sz w:val="24"/>
    </w:rPr>
  </w:style>
  <w:style w:type="paragraph" w:styleId="19">
    <w:name w:val="Body Text First Indent 2"/>
    <w:basedOn w:val="10"/>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character" w:customStyle="1" w:styleId="25">
    <w:name w:val="页眉 Char"/>
    <w:basedOn w:val="22"/>
    <w:link w:val="13"/>
    <w:qFormat/>
    <w:uiPriority w:val="99"/>
    <w:rPr>
      <w:sz w:val="18"/>
      <w:szCs w:val="18"/>
    </w:rPr>
  </w:style>
  <w:style w:type="character" w:customStyle="1" w:styleId="26">
    <w:name w:val="页脚 Char"/>
    <w:basedOn w:val="22"/>
    <w:link w:val="12"/>
    <w:qFormat/>
    <w:uiPriority w:val="99"/>
    <w:rPr>
      <w:sz w:val="18"/>
      <w:szCs w:val="18"/>
    </w:rPr>
  </w:style>
  <w:style w:type="character" w:customStyle="1" w:styleId="27">
    <w:name w:val="批注文字 Char"/>
    <w:basedOn w:val="22"/>
    <w:link w:val="9"/>
    <w:qFormat/>
    <w:uiPriority w:val="99"/>
    <w:rPr>
      <w:rFonts w:ascii="Times New Roman" w:hAnsi="Times New Roman" w:eastAsia="Courier New" w:cs="Times New Roman"/>
      <w:szCs w:val="21"/>
    </w:rPr>
  </w:style>
  <w:style w:type="character" w:customStyle="1" w:styleId="28">
    <w:name w:val="批注主题 Char"/>
    <w:basedOn w:val="27"/>
    <w:link w:val="17"/>
    <w:semiHidden/>
    <w:qFormat/>
    <w:uiPriority w:val="99"/>
    <w:rPr>
      <w:rFonts w:ascii="Times New Roman" w:hAnsi="Times New Roman" w:eastAsia="Courier New" w:cs="Times New Roman"/>
      <w:b/>
      <w:bCs/>
      <w:szCs w:val="21"/>
    </w:rPr>
  </w:style>
  <w:style w:type="paragraph" w:customStyle="1" w:styleId="29">
    <w:name w:val="独立格式"/>
    <w:basedOn w:val="15"/>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0">
    <w:name w:val="副标题 Char"/>
    <w:basedOn w:val="22"/>
    <w:link w:val="15"/>
    <w:qFormat/>
    <w:uiPriority w:val="11"/>
    <w:rPr>
      <w:b/>
      <w:bCs/>
      <w:kern w:val="28"/>
      <w:sz w:val="32"/>
      <w:szCs w:val="32"/>
    </w:rPr>
  </w:style>
  <w:style w:type="character" w:customStyle="1" w:styleId="31">
    <w:name w:val="标题 2 Char"/>
    <w:basedOn w:val="22"/>
    <w:link w:val="4"/>
    <w:qFormat/>
    <w:uiPriority w:val="9"/>
    <w:rPr>
      <w:rFonts w:ascii="Arial" w:hAnsi="Arial" w:eastAsia="Symbol" w:cs="Times New Roman"/>
      <w:b/>
      <w:bCs/>
      <w:sz w:val="32"/>
      <w:szCs w:val="32"/>
    </w:rPr>
  </w:style>
  <w:style w:type="paragraph" w:customStyle="1" w:styleId="32">
    <w:name w:val="表格名称"/>
    <w:basedOn w:val="1"/>
    <w:qFormat/>
    <w:uiPriority w:val="0"/>
    <w:pPr>
      <w:spacing w:line="360" w:lineRule="auto"/>
      <w:jc w:val="center"/>
    </w:pPr>
    <w:rPr>
      <w:rFonts w:eastAsia="Helv" w:cs="New York"/>
      <w:b/>
      <w:sz w:val="24"/>
      <w:szCs w:val="24"/>
    </w:rPr>
  </w:style>
  <w:style w:type="paragraph" w:customStyle="1" w:styleId="33">
    <w:name w:val="表格文字"/>
    <w:basedOn w:val="29"/>
    <w:next w:val="1"/>
    <w:qFormat/>
    <w:uiPriority w:val="0"/>
    <w:pPr>
      <w:spacing w:line="360" w:lineRule="exact"/>
    </w:pPr>
    <w:rPr>
      <w:rFonts w:eastAsia="Helv" w:cs="New York"/>
      <w:sz w:val="24"/>
    </w:rPr>
  </w:style>
  <w:style w:type="character" w:customStyle="1" w:styleId="34">
    <w:name w:val="标题 5 Char"/>
    <w:basedOn w:val="22"/>
    <w:link w:val="7"/>
    <w:semiHidden/>
    <w:qFormat/>
    <w:uiPriority w:val="9"/>
    <w:rPr>
      <w:rFonts w:ascii="Times New Roman" w:hAnsi="Times New Roman" w:eastAsia="Courier New" w:cs="Times New Roman"/>
      <w:b/>
      <w:bCs/>
      <w:sz w:val="28"/>
      <w:szCs w:val="28"/>
    </w:rPr>
  </w:style>
  <w:style w:type="character" w:customStyle="1" w:styleId="35">
    <w:name w:val="正文文本 Char"/>
    <w:basedOn w:val="22"/>
    <w:link w:val="2"/>
    <w:semiHidden/>
    <w:qFormat/>
    <w:uiPriority w:val="99"/>
    <w:rPr>
      <w:rFonts w:ascii="Times New Roman" w:hAnsi="Times New Roman" w:eastAsia="Courier New" w:cs="Times New Roman"/>
      <w:szCs w:val="21"/>
    </w:rPr>
  </w:style>
  <w:style w:type="character" w:customStyle="1" w:styleId="36">
    <w:name w:val="标题 4 Char"/>
    <w:basedOn w:val="22"/>
    <w:link w:val="6"/>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1"/>
    <w:semiHidden/>
    <w:qFormat/>
    <w:uiPriority w:val="99"/>
    <w:rPr>
      <w:rFonts w:ascii="Times New Roman" w:hAnsi="Times New Roman" w:eastAsia="Courier New" w:cs="Times New Roman"/>
      <w:kern w:val="2"/>
      <w:sz w:val="18"/>
      <w:szCs w:val="18"/>
    </w:rPr>
  </w:style>
  <w:style w:type="table" w:customStyle="1" w:styleId="38">
    <w:name w:val="Table Normal"/>
    <w:unhideWhenUsed/>
    <w:qFormat/>
    <w:uiPriority w:val="2"/>
    <w:tblPr>
      <w:tblCellMar>
        <w:top w:w="0" w:type="dxa"/>
        <w:left w:w="0" w:type="dxa"/>
        <w:bottom w:w="0" w:type="dxa"/>
        <w:right w:w="0" w:type="dxa"/>
      </w:tblCellMar>
    </w:tblPr>
  </w:style>
  <w:style w:type="paragraph" w:customStyle="1" w:styleId="39">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0">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376</Words>
  <Characters>396</Characters>
  <Lines>80</Lines>
  <Paragraphs>22</Paragraphs>
  <TotalTime>10</TotalTime>
  <ScaleCrop>false</ScaleCrop>
  <LinksUpToDate>false</LinksUpToDate>
  <CharactersWithSpaces>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2022-09-07T09:41:00Z</dcterms:created>
  <dc:creator>Richard Meng</dc:creator>
  <cp:lastModifiedBy>蛋蛋</cp:lastModifiedBy>
  <cp:lastPrinted>2022-09-03T16:20:00Z</cp:lastPrinted>
  <dcterms:modified xsi:type="dcterms:W3CDTF">2025-03-17T03:21:28Z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C91833409B45A53471F3C7673E21F8C8</vt:lpwstr>
  </property>
  <property fmtid="{D5CDD505-2E9C-101B-9397-08002B2CF9AE}" pid="4" name="commondata">
    <vt:lpwstr>eyJoZGlkIjoiMDUyZTZiOWNhNTRkM2JiNDQwZWRmZDZjZTIwNDhiY2IifQ==</vt:lpwstr>
  </property>
  <property fmtid="{D5CDD505-2E9C-101B-9397-08002B2CF9AE}" pid="5" name="KSOTemplateDocerSaveRecord">
    <vt:lpwstr>eyJoZGlkIjoiOTg3NWM4ODY5ZTQ2ZGE4NzM3NmE3NjQ2OTc4ZWFkOTkiLCJ1c2VySWQiOiI1MzYyMjQ4NjgifQ==</vt:lpwstr>
  </property>
</Properties>
</file>